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78" w:rsidRDefault="00B00B66" w:rsidP="00D36BF3">
      <w:pPr>
        <w:spacing w:line="276" w:lineRule="auto"/>
        <w:jc w:val="center"/>
        <w:rPr>
          <w:rFonts w:ascii="Tahoma" w:hAnsi="Tahoma" w:cs="Tahoma"/>
          <w:b/>
          <w:lang w:val="fr-FR"/>
        </w:rPr>
      </w:pPr>
      <w:bookmarkStart w:id="0" w:name="_GoBack"/>
      <w:r w:rsidRPr="00D35AFB">
        <w:rPr>
          <w:rFonts w:ascii="Tahoma" w:hAnsi="Tahoma" w:cs="Tahoma"/>
          <w:b/>
          <w:lang w:val="fr-FR"/>
        </w:rPr>
        <w:t xml:space="preserve">AVIS </w:t>
      </w:r>
      <w:r w:rsidR="00690EC3" w:rsidRPr="00D35AFB">
        <w:rPr>
          <w:rFonts w:ascii="Tahoma" w:hAnsi="Tahoma" w:cs="Tahoma"/>
          <w:b/>
          <w:lang w:val="fr-FR"/>
        </w:rPr>
        <w:t>D</w:t>
      </w:r>
      <w:r w:rsidR="00A65F78">
        <w:rPr>
          <w:rFonts w:ascii="Tahoma" w:hAnsi="Tahoma" w:cs="Tahoma"/>
          <w:b/>
          <w:lang w:val="fr-FR"/>
        </w:rPr>
        <w:t xml:space="preserve">’APPEL D’OFFRE INTERNATIONAL POUR LES TRAVAUX </w:t>
      </w:r>
    </w:p>
    <w:p w:rsidR="002447C1" w:rsidRDefault="00A65F78" w:rsidP="00D36BF3">
      <w:pPr>
        <w:spacing w:line="276" w:lineRule="auto"/>
        <w:jc w:val="center"/>
        <w:rPr>
          <w:rFonts w:ascii="Tahoma" w:hAnsi="Tahoma" w:cs="Tahoma"/>
          <w:b/>
          <w:lang w:val="fr-FR"/>
        </w:rPr>
      </w:pPr>
      <w:r>
        <w:rPr>
          <w:rFonts w:ascii="Tahoma" w:hAnsi="Tahoma" w:cs="Tahoma"/>
          <w:b/>
          <w:lang w:val="fr-FR"/>
        </w:rPr>
        <w:t>DE REHABILITATION ET DE CONSTRUCTION DU PAUWES</w:t>
      </w:r>
    </w:p>
    <w:p w:rsidR="006836ED" w:rsidRPr="00D35AFB" w:rsidRDefault="002447C1" w:rsidP="00D36BF3">
      <w:pPr>
        <w:spacing w:line="276" w:lineRule="auto"/>
        <w:jc w:val="center"/>
        <w:rPr>
          <w:rFonts w:ascii="Tahoma" w:hAnsi="Tahoma" w:cs="Tahoma"/>
          <w:b/>
          <w:lang w:val="fr-FR"/>
        </w:rPr>
      </w:pPr>
      <w:r w:rsidRPr="00064B09">
        <w:rPr>
          <w:rFonts w:ascii="Tahoma" w:hAnsi="Tahoma" w:cs="Tahoma"/>
          <w:b/>
          <w:lang w:val="fr-FR"/>
        </w:rPr>
        <w:t>A TLEMCEN</w:t>
      </w:r>
      <w:r>
        <w:rPr>
          <w:rFonts w:ascii="Tahoma" w:hAnsi="Tahoma" w:cs="Tahoma"/>
          <w:b/>
          <w:lang w:val="fr-FR"/>
        </w:rPr>
        <w:t>,</w:t>
      </w:r>
      <w:r w:rsidRPr="00064B09">
        <w:rPr>
          <w:rFonts w:ascii="Tahoma" w:hAnsi="Tahoma" w:cs="Tahoma"/>
          <w:b/>
          <w:lang w:val="fr-FR"/>
        </w:rPr>
        <w:t xml:space="preserve"> ALGERIE</w:t>
      </w:r>
    </w:p>
    <w:bookmarkEnd w:id="0"/>
    <w:p w:rsidR="006836ED" w:rsidRPr="00D35AFB" w:rsidRDefault="006836ED" w:rsidP="00D36BF3">
      <w:pPr>
        <w:rPr>
          <w:rFonts w:ascii="Tahoma" w:hAnsi="Tahoma" w:cs="Tahoma"/>
          <w:lang w:val="fr-FR"/>
        </w:rPr>
      </w:pPr>
    </w:p>
    <w:tbl>
      <w:tblPr>
        <w:tblStyle w:val="Grilledutableau"/>
        <w:tblW w:w="0" w:type="auto"/>
        <w:tblLook w:val="04A0"/>
      </w:tblPr>
      <w:tblGrid>
        <w:gridCol w:w="2875"/>
        <w:gridCol w:w="5575"/>
      </w:tblGrid>
      <w:tr w:rsidR="00F26929" w:rsidRPr="00D35AFB" w:rsidTr="00B00B66">
        <w:tc>
          <w:tcPr>
            <w:tcW w:w="2875" w:type="dxa"/>
          </w:tcPr>
          <w:p w:rsidR="00374CA2" w:rsidRPr="00D35AFB" w:rsidRDefault="00EE1BD0" w:rsidP="00D36BF3">
            <w:pPr>
              <w:spacing w:line="276" w:lineRule="auto"/>
              <w:rPr>
                <w:rFonts w:ascii="Tahoma" w:hAnsi="Tahoma" w:cs="Tahoma"/>
                <w:lang w:val="fr-FR"/>
              </w:rPr>
            </w:pPr>
            <w:r w:rsidRPr="00D35AFB">
              <w:rPr>
                <w:rFonts w:ascii="Tahoma" w:hAnsi="Tahoma" w:cs="Tahoma"/>
                <w:lang w:val="fr-FR"/>
              </w:rPr>
              <w:t>Pays du projet:</w:t>
            </w:r>
          </w:p>
        </w:tc>
        <w:tc>
          <w:tcPr>
            <w:tcW w:w="5575" w:type="dxa"/>
          </w:tcPr>
          <w:p w:rsidR="00374CA2" w:rsidRPr="00D35AFB" w:rsidRDefault="00EE1BD0" w:rsidP="00D36BF3">
            <w:pPr>
              <w:spacing w:line="276" w:lineRule="auto"/>
              <w:rPr>
                <w:rFonts w:ascii="Tahoma" w:hAnsi="Tahoma" w:cs="Tahoma"/>
                <w:lang w:val="fr-FR"/>
              </w:rPr>
            </w:pPr>
            <w:r w:rsidRPr="00D35AFB">
              <w:rPr>
                <w:rFonts w:ascii="Tahoma" w:hAnsi="Tahoma" w:cs="Tahoma"/>
                <w:lang w:val="fr-FR"/>
              </w:rPr>
              <w:t>Algérie</w:t>
            </w:r>
          </w:p>
        </w:tc>
      </w:tr>
      <w:tr w:rsidR="00F26929" w:rsidRPr="00A65F78" w:rsidTr="00B00B66">
        <w:tc>
          <w:tcPr>
            <w:tcW w:w="2875" w:type="dxa"/>
          </w:tcPr>
          <w:p w:rsidR="00D51C1F" w:rsidRPr="00D35AFB" w:rsidRDefault="00582D6B" w:rsidP="00D36BF3">
            <w:pPr>
              <w:spacing w:line="276" w:lineRule="auto"/>
              <w:rPr>
                <w:rFonts w:ascii="Tahoma" w:hAnsi="Tahoma" w:cs="Tahoma"/>
                <w:lang w:val="fr-FR"/>
              </w:rPr>
            </w:pPr>
            <w:r w:rsidRPr="00D35AFB">
              <w:rPr>
                <w:rFonts w:ascii="Tahoma" w:hAnsi="Tahoma" w:cs="Tahoma"/>
                <w:lang w:val="fr-FR"/>
              </w:rPr>
              <w:t>Institution de financement</w:t>
            </w:r>
            <w:r w:rsidR="00EE1BD0" w:rsidRPr="00D35AFB">
              <w:rPr>
                <w:rFonts w:ascii="Tahoma" w:hAnsi="Tahoma" w:cs="Tahoma"/>
                <w:lang w:val="fr-FR"/>
              </w:rPr>
              <w:t>:</w:t>
            </w:r>
          </w:p>
        </w:tc>
        <w:tc>
          <w:tcPr>
            <w:tcW w:w="5575" w:type="dxa"/>
          </w:tcPr>
          <w:p w:rsidR="00D51C1F" w:rsidRPr="0002136C" w:rsidRDefault="00C948B6" w:rsidP="00D36BF3">
            <w:pPr>
              <w:spacing w:line="276" w:lineRule="auto"/>
              <w:rPr>
                <w:rFonts w:ascii="Tahoma" w:hAnsi="Tahoma" w:cs="Tahoma"/>
                <w:lang w:val="de-DE"/>
              </w:rPr>
            </w:pPr>
            <w:r>
              <w:rPr>
                <w:rFonts w:ascii="Tahoma" w:hAnsi="Tahoma" w:cs="Tahoma"/>
                <w:lang w:val="de-DE"/>
              </w:rPr>
              <w:t>African Union Commission à t</w:t>
            </w:r>
            <w:r w:rsidRPr="002968F9">
              <w:rPr>
                <w:rFonts w:ascii="Tahoma" w:hAnsi="Tahoma" w:cs="Tahoma"/>
                <w:lang w:val="de-DE"/>
              </w:rPr>
              <w:t xml:space="preserve">ravers un financement du </w:t>
            </w:r>
            <w:r w:rsidR="00EE1BD0" w:rsidRPr="0002136C">
              <w:rPr>
                <w:rFonts w:ascii="Tahoma" w:hAnsi="Tahoma" w:cs="Tahoma"/>
                <w:lang w:val="de-DE"/>
              </w:rPr>
              <w:t>Kreditanstalt für Wiederaufbau (KfW) – Entwicklungsbank</w:t>
            </w:r>
            <w:r w:rsidR="00D35AFB" w:rsidRPr="0002136C">
              <w:rPr>
                <w:rFonts w:ascii="Tahoma" w:hAnsi="Tahoma" w:cs="Tahoma"/>
                <w:lang w:val="de-DE"/>
              </w:rPr>
              <w:t>, Allemagne</w:t>
            </w:r>
          </w:p>
        </w:tc>
      </w:tr>
      <w:tr w:rsidR="00F26929" w:rsidRPr="00D35AFB" w:rsidTr="00B00B66">
        <w:tc>
          <w:tcPr>
            <w:tcW w:w="2875" w:type="dxa"/>
          </w:tcPr>
          <w:p w:rsidR="00445414" w:rsidRPr="00D35AFB" w:rsidRDefault="00690EC3" w:rsidP="00D36BF3">
            <w:pPr>
              <w:spacing w:line="276" w:lineRule="auto"/>
              <w:rPr>
                <w:rFonts w:ascii="Tahoma" w:hAnsi="Tahoma" w:cs="Tahoma"/>
                <w:lang w:val="fr-FR"/>
              </w:rPr>
            </w:pPr>
            <w:r w:rsidRPr="00D35AFB">
              <w:rPr>
                <w:rFonts w:ascii="Tahoma" w:hAnsi="Tahoma" w:cs="Tahoma"/>
                <w:lang w:val="fr-FR"/>
              </w:rPr>
              <w:t>Secteur</w:t>
            </w:r>
            <w:r w:rsidR="00445414" w:rsidRPr="00D35AFB">
              <w:rPr>
                <w:rFonts w:ascii="Tahoma" w:hAnsi="Tahoma" w:cs="Tahoma"/>
                <w:lang w:val="fr-FR"/>
              </w:rPr>
              <w:t>:</w:t>
            </w:r>
          </w:p>
        </w:tc>
        <w:tc>
          <w:tcPr>
            <w:tcW w:w="5575" w:type="dxa"/>
          </w:tcPr>
          <w:p w:rsidR="00445414" w:rsidRPr="00D35AFB" w:rsidRDefault="00DC4D67" w:rsidP="00C02ADC">
            <w:pPr>
              <w:rPr>
                <w:rFonts w:ascii="Tahoma" w:hAnsi="Tahoma" w:cs="Tahoma"/>
                <w:lang w:val="fr-FR"/>
              </w:rPr>
            </w:pPr>
            <w:r>
              <w:rPr>
                <w:rFonts w:ascii="Tahoma" w:hAnsi="Tahoma" w:cs="Tahoma"/>
                <w:lang w:val="fr-FR"/>
              </w:rPr>
              <w:t>C</w:t>
            </w:r>
            <w:r w:rsidR="00F72E1E">
              <w:rPr>
                <w:rFonts w:ascii="Tahoma" w:hAnsi="Tahoma" w:cs="Tahoma"/>
                <w:lang w:val="fr-FR"/>
              </w:rPr>
              <w:t>onstruction/</w:t>
            </w:r>
            <w:r w:rsidR="002968F9">
              <w:rPr>
                <w:rFonts w:ascii="Tahoma" w:hAnsi="Tahoma" w:cs="Tahoma"/>
                <w:lang w:val="fr-FR"/>
              </w:rPr>
              <w:t>Ré</w:t>
            </w:r>
            <w:r w:rsidR="002968F9" w:rsidRPr="00D35AFB">
              <w:rPr>
                <w:rFonts w:ascii="Tahoma" w:hAnsi="Tahoma" w:cs="Tahoma"/>
                <w:lang w:val="fr-FR"/>
              </w:rPr>
              <w:t>habilitation</w:t>
            </w:r>
          </w:p>
        </w:tc>
      </w:tr>
      <w:tr w:rsidR="00F26929" w:rsidRPr="00A65F78" w:rsidTr="00B00B66">
        <w:tc>
          <w:tcPr>
            <w:tcW w:w="2875" w:type="dxa"/>
          </w:tcPr>
          <w:p w:rsidR="00D51C1F" w:rsidRPr="00D35AFB" w:rsidRDefault="00690EC3" w:rsidP="00D36BF3">
            <w:pPr>
              <w:spacing w:line="276" w:lineRule="auto"/>
              <w:rPr>
                <w:rFonts w:ascii="Tahoma" w:hAnsi="Tahoma" w:cs="Tahoma"/>
                <w:lang w:val="fr-FR"/>
              </w:rPr>
            </w:pPr>
            <w:r w:rsidRPr="00D35AFB">
              <w:rPr>
                <w:rFonts w:ascii="Tahoma" w:hAnsi="Tahoma" w:cs="Tahoma"/>
                <w:lang w:val="fr-FR"/>
              </w:rPr>
              <w:t>Nom du projet</w:t>
            </w:r>
            <w:r w:rsidR="00D51C1F" w:rsidRPr="00D35AFB">
              <w:rPr>
                <w:rFonts w:ascii="Tahoma" w:hAnsi="Tahoma" w:cs="Tahoma"/>
                <w:lang w:val="fr-FR"/>
              </w:rPr>
              <w:t>:</w:t>
            </w:r>
          </w:p>
        </w:tc>
        <w:tc>
          <w:tcPr>
            <w:tcW w:w="5575" w:type="dxa"/>
          </w:tcPr>
          <w:p w:rsidR="00D51C1F" w:rsidRPr="0009156A" w:rsidRDefault="0009156A" w:rsidP="0009156A">
            <w:pPr>
              <w:spacing w:line="276" w:lineRule="auto"/>
              <w:rPr>
                <w:rFonts w:ascii="Tahoma" w:hAnsi="Tahoma" w:cs="Tahoma"/>
                <w:lang w:val="fr-FR"/>
              </w:rPr>
            </w:pPr>
            <w:r w:rsidRPr="0009156A">
              <w:rPr>
                <w:rFonts w:ascii="Tahoma" w:hAnsi="Tahoma" w:cs="Tahoma"/>
                <w:lang w:val="fr-FR"/>
              </w:rPr>
              <w:t xml:space="preserve">Travaux de </w:t>
            </w:r>
            <w:r w:rsidR="00951152">
              <w:rPr>
                <w:rFonts w:ascii="Tahoma" w:hAnsi="Tahoma" w:cs="Tahoma"/>
                <w:lang w:val="fr-FR"/>
              </w:rPr>
              <w:t>ré</w:t>
            </w:r>
            <w:r w:rsidRPr="0009156A">
              <w:rPr>
                <w:rFonts w:ascii="Tahoma" w:hAnsi="Tahoma" w:cs="Tahoma"/>
                <w:lang w:val="fr-FR"/>
              </w:rPr>
              <w:t xml:space="preserve">habilitation et de construction du </w:t>
            </w:r>
            <w:r w:rsidR="00EE1BD0" w:rsidRPr="0009156A">
              <w:rPr>
                <w:rFonts w:ascii="Tahoma" w:hAnsi="Tahoma" w:cs="Tahoma"/>
                <w:lang w:val="fr-FR"/>
              </w:rPr>
              <w:t>Pan African University Institute of Water and Energy Sciences (PAUWES)</w:t>
            </w:r>
          </w:p>
        </w:tc>
      </w:tr>
      <w:tr w:rsidR="00582D6B" w:rsidRPr="00D35AFB" w:rsidTr="00B00B66">
        <w:tc>
          <w:tcPr>
            <w:tcW w:w="2875" w:type="dxa"/>
          </w:tcPr>
          <w:p w:rsidR="00582D6B" w:rsidRPr="00D35AFB" w:rsidRDefault="00582D6B" w:rsidP="00582D6B">
            <w:pPr>
              <w:autoSpaceDE w:val="0"/>
              <w:autoSpaceDN w:val="0"/>
              <w:adjustRightInd w:val="0"/>
              <w:spacing w:after="120"/>
              <w:rPr>
                <w:rFonts w:ascii="Tahoma" w:hAnsi="Tahoma" w:cs="Tahoma"/>
                <w:lang w:val="fr-FR"/>
              </w:rPr>
            </w:pPr>
            <w:r w:rsidRPr="00D35AFB">
              <w:rPr>
                <w:rFonts w:ascii="Tahoma" w:hAnsi="Tahoma" w:cs="Tahoma"/>
                <w:lang w:val="fr-FR"/>
              </w:rPr>
              <w:t>Type de passation de marchés</w:t>
            </w:r>
            <w:r w:rsidR="00EE1BD0" w:rsidRPr="00D35AFB">
              <w:rPr>
                <w:rFonts w:ascii="Tahoma" w:hAnsi="Tahoma" w:cs="Tahoma"/>
                <w:lang w:val="fr-FR"/>
              </w:rPr>
              <w:t>:</w:t>
            </w:r>
          </w:p>
        </w:tc>
        <w:tc>
          <w:tcPr>
            <w:tcW w:w="5575" w:type="dxa"/>
          </w:tcPr>
          <w:p w:rsidR="00582D6B" w:rsidRPr="00D35AFB" w:rsidRDefault="00582D6B" w:rsidP="00582D6B">
            <w:pPr>
              <w:rPr>
                <w:rFonts w:ascii="Tahoma" w:hAnsi="Tahoma" w:cs="Tahoma"/>
                <w:lang w:val="fr-FR"/>
              </w:rPr>
            </w:pPr>
            <w:r w:rsidRPr="00D35AFB">
              <w:rPr>
                <w:rFonts w:ascii="Tahoma" w:hAnsi="Tahoma" w:cs="Tahoma"/>
                <w:lang w:val="fr-FR"/>
              </w:rPr>
              <w:t>Travaux</w:t>
            </w:r>
          </w:p>
          <w:p w:rsidR="00582D6B" w:rsidRPr="00D35AFB" w:rsidRDefault="00582D6B" w:rsidP="00582D6B">
            <w:pPr>
              <w:spacing w:line="276" w:lineRule="auto"/>
              <w:rPr>
                <w:rFonts w:ascii="Tahoma" w:hAnsi="Tahoma" w:cs="Tahoma"/>
                <w:lang w:val="fr-FR"/>
              </w:rPr>
            </w:pPr>
          </w:p>
        </w:tc>
      </w:tr>
      <w:tr w:rsidR="00582D6B" w:rsidRPr="00A65F78" w:rsidTr="00B00B66">
        <w:tc>
          <w:tcPr>
            <w:tcW w:w="2875" w:type="dxa"/>
          </w:tcPr>
          <w:p w:rsidR="00582D6B" w:rsidRPr="00D35AFB" w:rsidRDefault="00582D6B" w:rsidP="00582D6B">
            <w:pPr>
              <w:autoSpaceDE w:val="0"/>
              <w:autoSpaceDN w:val="0"/>
              <w:adjustRightInd w:val="0"/>
              <w:spacing w:after="120"/>
              <w:rPr>
                <w:rFonts w:ascii="Tahoma" w:hAnsi="Tahoma" w:cs="Tahoma"/>
                <w:lang w:val="fr-FR"/>
              </w:rPr>
            </w:pPr>
            <w:r w:rsidRPr="00D35AFB">
              <w:rPr>
                <w:rFonts w:ascii="Tahoma" w:hAnsi="Tahoma" w:cs="Tahoma"/>
                <w:lang w:val="fr-FR"/>
              </w:rPr>
              <w:t>Titre:</w:t>
            </w:r>
          </w:p>
        </w:tc>
        <w:tc>
          <w:tcPr>
            <w:tcW w:w="5575" w:type="dxa"/>
          </w:tcPr>
          <w:p w:rsidR="00582D6B" w:rsidRPr="00D35AFB" w:rsidRDefault="00582D6B" w:rsidP="00582D6B">
            <w:pPr>
              <w:spacing w:line="276" w:lineRule="auto"/>
              <w:rPr>
                <w:rFonts w:ascii="Tahoma" w:hAnsi="Tahoma" w:cs="Tahoma"/>
                <w:lang w:val="fr-FR"/>
              </w:rPr>
            </w:pPr>
            <w:r w:rsidRPr="00D35AFB">
              <w:rPr>
                <w:rFonts w:ascii="Tahoma" w:hAnsi="Tahoma" w:cs="Tahoma"/>
                <w:lang w:val="fr-FR"/>
              </w:rPr>
              <w:t>Avis général de passation de marché (GPN)</w:t>
            </w:r>
          </w:p>
        </w:tc>
      </w:tr>
      <w:tr w:rsidR="00582D6B" w:rsidRPr="00D35AFB" w:rsidTr="00B00B66">
        <w:tc>
          <w:tcPr>
            <w:tcW w:w="2875" w:type="dxa"/>
          </w:tcPr>
          <w:p w:rsidR="00582D6B" w:rsidRPr="00D35AFB" w:rsidRDefault="00582D6B" w:rsidP="00582D6B">
            <w:pPr>
              <w:autoSpaceDE w:val="0"/>
              <w:autoSpaceDN w:val="0"/>
              <w:adjustRightInd w:val="0"/>
              <w:spacing w:after="120"/>
              <w:rPr>
                <w:rFonts w:ascii="Tahoma" w:hAnsi="Tahoma" w:cs="Tahoma"/>
                <w:lang w:val="fr-FR"/>
              </w:rPr>
            </w:pPr>
            <w:r w:rsidRPr="00D35AFB">
              <w:rPr>
                <w:rFonts w:ascii="Tahoma" w:hAnsi="Tahoma" w:cs="Tahoma"/>
                <w:lang w:val="fr-FR"/>
              </w:rPr>
              <w:t>Projet ID::</w:t>
            </w:r>
          </w:p>
        </w:tc>
        <w:tc>
          <w:tcPr>
            <w:tcW w:w="5575" w:type="dxa"/>
          </w:tcPr>
          <w:p w:rsidR="00582D6B" w:rsidRPr="00D35AFB" w:rsidRDefault="00EE1BD0" w:rsidP="00582D6B">
            <w:pPr>
              <w:spacing w:line="276" w:lineRule="auto"/>
              <w:rPr>
                <w:rFonts w:ascii="Tahoma" w:hAnsi="Tahoma" w:cs="Tahoma"/>
                <w:lang w:val="fr-FR"/>
              </w:rPr>
            </w:pPr>
            <w:r w:rsidRPr="00D35AFB">
              <w:rPr>
                <w:rFonts w:ascii="Tahoma" w:hAnsi="Tahoma" w:cs="Tahoma"/>
                <w:lang w:val="fr-FR"/>
              </w:rPr>
              <w:t>2013 66 673-1</w:t>
            </w:r>
          </w:p>
        </w:tc>
      </w:tr>
      <w:tr w:rsidR="00582D6B" w:rsidRPr="00D35AFB" w:rsidTr="00B00B66">
        <w:tc>
          <w:tcPr>
            <w:tcW w:w="2875" w:type="dxa"/>
          </w:tcPr>
          <w:p w:rsidR="00582D6B" w:rsidRPr="00D35AFB" w:rsidRDefault="00582D6B" w:rsidP="00582D6B">
            <w:pPr>
              <w:spacing w:line="276" w:lineRule="auto"/>
              <w:rPr>
                <w:rFonts w:ascii="Tahoma" w:hAnsi="Tahoma" w:cs="Tahoma"/>
                <w:lang w:val="fr-FR"/>
              </w:rPr>
            </w:pPr>
            <w:r w:rsidRPr="00D35AFB">
              <w:rPr>
                <w:rFonts w:ascii="Tahoma" w:hAnsi="Tahoma" w:cs="Tahoma"/>
                <w:lang w:val="fr-FR"/>
              </w:rPr>
              <w:t>No. de financement du prêt / crédit / subvention:</w:t>
            </w:r>
          </w:p>
        </w:tc>
        <w:tc>
          <w:tcPr>
            <w:tcW w:w="5575" w:type="dxa"/>
          </w:tcPr>
          <w:p w:rsidR="00582D6B" w:rsidRPr="00D35AFB" w:rsidRDefault="00EE1BD0" w:rsidP="00582D6B">
            <w:pPr>
              <w:spacing w:line="276" w:lineRule="auto"/>
              <w:rPr>
                <w:rFonts w:ascii="Tahoma" w:hAnsi="Tahoma" w:cs="Tahoma"/>
                <w:lang w:val="fr-FR"/>
              </w:rPr>
            </w:pPr>
            <w:r w:rsidRPr="00D35AFB">
              <w:rPr>
                <w:rFonts w:ascii="Tahoma" w:hAnsi="Tahoma" w:cs="Tahoma"/>
                <w:lang w:val="fr-FR"/>
              </w:rPr>
              <w:t>BMZ 2013 66 673</w:t>
            </w:r>
          </w:p>
        </w:tc>
      </w:tr>
      <w:tr w:rsidR="00582D6B" w:rsidRPr="00A65F78" w:rsidTr="00B00B66">
        <w:tc>
          <w:tcPr>
            <w:tcW w:w="2875" w:type="dxa"/>
          </w:tcPr>
          <w:p w:rsidR="00582D6B" w:rsidRPr="00923AE3" w:rsidRDefault="00582D6B" w:rsidP="00582D6B">
            <w:pPr>
              <w:spacing w:line="276" w:lineRule="auto"/>
              <w:rPr>
                <w:rFonts w:ascii="Tahoma" w:hAnsi="Tahoma" w:cs="Tahoma"/>
                <w:lang w:val="fr-FR"/>
              </w:rPr>
            </w:pPr>
            <w:r w:rsidRPr="00923AE3">
              <w:rPr>
                <w:rFonts w:ascii="Tahoma" w:hAnsi="Tahoma" w:cs="Tahoma"/>
                <w:lang w:val="fr-FR"/>
              </w:rPr>
              <w:t>Divers:</w:t>
            </w:r>
          </w:p>
        </w:tc>
        <w:tc>
          <w:tcPr>
            <w:tcW w:w="5575" w:type="dxa"/>
          </w:tcPr>
          <w:p w:rsidR="00582D6B" w:rsidRPr="00923AE3" w:rsidRDefault="00EE1BD0" w:rsidP="00B420FE">
            <w:pPr>
              <w:spacing w:line="276" w:lineRule="auto"/>
              <w:rPr>
                <w:rFonts w:ascii="Tahoma" w:hAnsi="Tahoma" w:cs="Tahoma"/>
                <w:lang w:val="fr-FR"/>
              </w:rPr>
            </w:pPr>
            <w:r w:rsidRPr="00923AE3">
              <w:rPr>
                <w:rFonts w:ascii="Tahoma" w:hAnsi="Tahoma" w:cs="Tahoma"/>
                <w:lang w:val="fr-FR"/>
              </w:rPr>
              <w:t>Date limite et soumission des offres :</w:t>
            </w:r>
          </w:p>
          <w:p w:rsidR="00EE1BD0" w:rsidRPr="00923AE3" w:rsidRDefault="00FE151B" w:rsidP="00B420FE">
            <w:pPr>
              <w:spacing w:line="276" w:lineRule="auto"/>
              <w:rPr>
                <w:rFonts w:ascii="Tahoma" w:hAnsi="Tahoma" w:cs="Tahoma"/>
                <w:lang w:val="fr-FR"/>
              </w:rPr>
            </w:pPr>
            <w:r>
              <w:rPr>
                <w:rFonts w:ascii="Tahoma" w:hAnsi="Tahoma" w:cs="Tahoma"/>
                <w:lang w:val="fr-FR"/>
              </w:rPr>
              <w:t>1</w:t>
            </w:r>
            <w:r w:rsidR="006232B4">
              <w:rPr>
                <w:rFonts w:ascii="Tahoma" w:hAnsi="Tahoma" w:cs="Tahoma"/>
                <w:lang w:val="fr-FR"/>
              </w:rPr>
              <w:t>4</w:t>
            </w:r>
            <w:r w:rsidR="00EE1BD0" w:rsidRPr="00923AE3">
              <w:rPr>
                <w:rFonts w:ascii="Tahoma" w:hAnsi="Tahoma" w:cs="Tahoma"/>
                <w:lang w:val="fr-FR"/>
              </w:rPr>
              <w:t xml:space="preserve"> Octobre 2018, 1</w:t>
            </w:r>
            <w:r w:rsidR="004D5B34">
              <w:rPr>
                <w:rFonts w:ascii="Tahoma" w:hAnsi="Tahoma" w:cs="Tahoma"/>
                <w:lang w:val="fr-FR"/>
              </w:rPr>
              <w:t>2</w:t>
            </w:r>
            <w:r w:rsidR="00EE1BD0" w:rsidRPr="00923AE3">
              <w:rPr>
                <w:rFonts w:ascii="Tahoma" w:hAnsi="Tahoma" w:cs="Tahoma"/>
                <w:lang w:val="fr-FR"/>
              </w:rPr>
              <w:t>.00 heures (heure locale Tlemcen, Algérie)</w:t>
            </w:r>
          </w:p>
        </w:tc>
      </w:tr>
    </w:tbl>
    <w:p w:rsidR="00582D6B" w:rsidRDefault="00582D6B" w:rsidP="00582D6B">
      <w:pPr>
        <w:rPr>
          <w:rFonts w:ascii="Tahoma" w:hAnsi="Tahoma" w:cs="Tahoma"/>
          <w:lang w:val="fr-FR"/>
        </w:rPr>
      </w:pP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b/>
          <w:bCs/>
          <w:lang w:val="fr-FR" w:eastAsia="de-DE"/>
        </w:rPr>
        <w:t>Référence :</w:t>
      </w:r>
      <w:r w:rsidRPr="002968F9">
        <w:rPr>
          <w:rFonts w:ascii="Tahoma" w:hAnsi="Tahoma" w:cs="Tahoma"/>
          <w:lang w:val="fr-FR" w:eastAsia="de-DE"/>
        </w:rPr>
        <w:t xml:space="preserve"> Appel d'offres international ouvert pour les travaux de réhabilitation et de construction du « Pan African University Institute of Water and Energy Sciences (PAUWES) »</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b/>
          <w:lang w:val="fr-FR" w:eastAsia="de-DE"/>
        </w:rPr>
        <w:t xml:space="preserve">Financement : </w:t>
      </w:r>
      <w:r w:rsidRPr="002968F9">
        <w:rPr>
          <w:rFonts w:ascii="Tahoma" w:hAnsi="Tahoma" w:cs="Tahoma"/>
          <w:lang w:val="fr-FR" w:eastAsia="de-DE"/>
        </w:rPr>
        <w:t>La Commission de l’Union Africaine (CUA) a reçu un financement du BMZ (Bundesministerium für Wirtschaftliche Zusammenarbeit und Entwicklung) à travers la KfW Entwicklungsbank (Kreditanstalt für Wiederaufbau – Entwicklungsbank) pour financer le projet PAUWES et elle a l’intention d’utiliser une partie de ce don pour effectuer des paiements au titre du marché PAUWES 2013 66 673-1.</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Des fonds ont été réservés pour ce projet par le gouvernement allemand par l'intermédiaire de la KfW Development Bank (coopération financière, FC) et il est prévu d'appliquer une partie de ces fonds aux travaux de réhabilitation et à la construction de l'Institut panafricain de l'eau et de l'énergie(PAUWES). Les conditions préalables aux versements pour cette mission ont été finalisées.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b/>
          <w:lang w:val="fr-FR" w:eastAsia="de-DE"/>
        </w:rPr>
        <w:t>Agence d'exécution du projet :</w:t>
      </w:r>
      <w:r w:rsidRPr="002968F9">
        <w:rPr>
          <w:rFonts w:ascii="Tahoma" w:hAnsi="Tahoma" w:cs="Tahoma"/>
          <w:lang w:val="fr-FR" w:eastAsia="de-DE"/>
        </w:rPr>
        <w:t xml:space="preserve"> La Commission de l'Union africaine (CUA) est l</w:t>
      </w:r>
      <w:r w:rsidR="00FE151B">
        <w:rPr>
          <w:rFonts w:ascii="Tahoma" w:hAnsi="Tahoma" w:cs="Tahoma"/>
          <w:lang w:val="fr-FR" w:eastAsia="de-DE"/>
        </w:rPr>
        <w:t>e maître d’ouvrage</w:t>
      </w:r>
      <w:r w:rsidRPr="002968F9">
        <w:rPr>
          <w:rFonts w:ascii="Tahoma" w:hAnsi="Tahoma" w:cs="Tahoma"/>
          <w:lang w:val="fr-FR" w:eastAsia="de-DE"/>
        </w:rPr>
        <w:t xml:space="preserve"> et le « Pan African University Institute for Water and Energy Sciences (PAUWES) » est l'agence d'exécution du projet</w:t>
      </w:r>
      <w:r w:rsidR="004D5B34">
        <w:rPr>
          <w:rFonts w:ascii="Tahoma" w:hAnsi="Tahoma" w:cs="Tahoma"/>
          <w:lang w:val="fr-FR" w:eastAsia="de-DE"/>
        </w:rPr>
        <w:t xml:space="preserve">/ </w:t>
      </w:r>
      <w:r w:rsidR="004D5B34" w:rsidRPr="002968F9">
        <w:rPr>
          <w:rFonts w:ascii="Tahoma" w:hAnsi="Tahoma" w:cs="Tahoma"/>
          <w:lang w:val="fr-FR" w:eastAsia="de-DE"/>
        </w:rPr>
        <w:t>l</w:t>
      </w:r>
      <w:r w:rsidR="004D5B34">
        <w:rPr>
          <w:rFonts w:ascii="Tahoma" w:hAnsi="Tahoma" w:cs="Tahoma"/>
          <w:lang w:val="fr-FR" w:eastAsia="de-DE"/>
        </w:rPr>
        <w:t>e maître d’ouvrage délégué</w:t>
      </w:r>
      <w:r w:rsidRPr="002968F9">
        <w:rPr>
          <w:rFonts w:ascii="Tahoma" w:hAnsi="Tahoma" w:cs="Tahoma"/>
          <w:lang w:val="fr-FR" w:eastAsia="de-DE"/>
        </w:rPr>
        <w:t>.</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b/>
          <w:lang w:val="fr-FR" w:eastAsia="de-DE"/>
        </w:rPr>
        <w:t>Mesures du projet :</w:t>
      </w:r>
      <w:r w:rsidRPr="002968F9">
        <w:rPr>
          <w:rFonts w:ascii="Tahoma" w:hAnsi="Tahoma" w:cs="Tahoma"/>
          <w:lang w:val="fr-FR" w:eastAsia="de-DE"/>
        </w:rPr>
        <w:t xml:space="preserve"> L'Union Africaine et la Coopération financière germano-algérienne ont convenu d'installer l’Institut panafricain des sciences de l'eau et </w:t>
      </w:r>
      <w:r w:rsidRPr="002968F9">
        <w:rPr>
          <w:rFonts w:ascii="Tahoma" w:hAnsi="Tahoma" w:cs="Tahoma"/>
          <w:lang w:val="fr-FR" w:eastAsia="de-DE"/>
        </w:rPr>
        <w:lastRenderedPageBreak/>
        <w:t>de l'énergie (PAUWES) dans un ensemble de bâtiments existants situés près du Campus Chétouane de l'Université de Tlemcen (UoT). Le nouvel institut jouera un rôle de premier plan dans la recherche de sources d’énergie renouvelable et de systèmes de gestion durable de l’eau avec le but spécifique de lutter contre le changement climatique sur le continent africain.</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Les premières composantes du projet sont les suivantes :</w:t>
      </w:r>
    </w:p>
    <w:p w:rsidR="002968F9" w:rsidRPr="002968F9" w:rsidRDefault="002968F9" w:rsidP="002968F9">
      <w:pPr>
        <w:tabs>
          <w:tab w:val="left" w:pos="8364"/>
        </w:tabs>
        <w:spacing w:before="120" w:after="120" w:line="320" w:lineRule="atLeast"/>
        <w:ind w:right="96"/>
        <w:jc w:val="both"/>
        <w:rPr>
          <w:rFonts w:ascii="Tahoma" w:hAnsi="Tahoma" w:cs="Tahoma"/>
          <w:b/>
          <w:lang w:val="fr-FR" w:eastAsia="de-DE"/>
        </w:rPr>
      </w:pPr>
      <w:r w:rsidRPr="002968F9">
        <w:rPr>
          <w:rFonts w:ascii="Tahoma" w:hAnsi="Tahoma" w:cs="Tahoma"/>
          <w:b/>
          <w:lang w:val="fr-FR" w:eastAsia="de-DE"/>
        </w:rPr>
        <w:t>Rénovation et modernisation énergétique des infrastructures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L'objectif de cette composante est la rénovation et la modernisation du campus existant du PAUWES.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Travaux demandés : Les travaux comprendront i) la rénovation, les modifications spatiales et l’amélioration énergétique des trois bâtiments du PAUWES et ii) la construction de deux extensions dans les cours adjacentes.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La mise à niveau énergétique consistera en la production d'énergie solaire, en l’isolation thermique et en un nouveau système de chauffage pour les bâtiments existants et les extensions.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Cet avis d'appel d'offres concerne les travaux de réhabilitation et de reconstruction du bloc administratif et des amphithéâtres, du bloc pédagogique et du bloc où se trouvent les laboratoires. De plus, des travaux de construction sont prévus pour le hall central et secondaire, ainsi que pour les voiries et réseaux divers (VRD) y compris les locaux techniques. Ces travaux incluent, mais ne sont pas limités aux travaux suivants : travaux de démolition extérieur et excavation, déviation des réseaux extérieurs, infrastructure, démolitions intérieurs et réseaux MEP, superstructure, maçonnerie, étanchéité, plâtrage, revêtement, menuiserie, pose d’appareillage, finition intérieur.</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b/>
          <w:lang w:val="fr-FR" w:eastAsia="de-DE"/>
        </w:rPr>
        <w:t>Dossier d’Appel d’Offres :</w:t>
      </w:r>
      <w:r w:rsidRPr="002968F9">
        <w:rPr>
          <w:rFonts w:ascii="Tahoma" w:hAnsi="Tahoma" w:cs="Tahoma"/>
          <w:lang w:val="fr-FR" w:eastAsia="de-DE"/>
        </w:rPr>
        <w:t xml:space="preserve"> Les Soumissionnaires intéressés peuvent obtenir les documents d’Appel d’offres (au format PDF) (la traduction en français est disponible, mais la version anglaise prévaut) par demande écrite auprès de :</w:t>
      </w:r>
    </w:p>
    <w:p w:rsidR="002968F9" w:rsidRPr="002968F9" w:rsidRDefault="002968F9" w:rsidP="00245790">
      <w:pPr>
        <w:tabs>
          <w:tab w:val="left" w:pos="8364"/>
        </w:tabs>
        <w:spacing w:before="120" w:after="120" w:line="320" w:lineRule="atLeast"/>
        <w:ind w:left="720" w:right="96"/>
        <w:jc w:val="both"/>
        <w:rPr>
          <w:rFonts w:ascii="Tahoma" w:hAnsi="Tahoma" w:cs="Tahoma"/>
          <w:i/>
          <w:iCs/>
          <w:lang w:val="it-IT" w:eastAsia="de-DE"/>
        </w:rPr>
      </w:pPr>
      <w:r w:rsidRPr="002968F9">
        <w:rPr>
          <w:rFonts w:ascii="Tahoma" w:hAnsi="Tahoma" w:cs="Tahoma"/>
          <w:i/>
          <w:iCs/>
          <w:lang w:val="it-IT" w:eastAsia="de-DE"/>
        </w:rPr>
        <w:t>GITEC-IGIP GmbH</w:t>
      </w:r>
    </w:p>
    <w:p w:rsidR="002968F9" w:rsidRPr="002968F9" w:rsidRDefault="002968F9" w:rsidP="00245790">
      <w:pPr>
        <w:tabs>
          <w:tab w:val="left" w:pos="8364"/>
        </w:tabs>
        <w:spacing w:before="120" w:after="120" w:line="320" w:lineRule="atLeast"/>
        <w:ind w:left="720" w:right="96"/>
        <w:jc w:val="both"/>
        <w:rPr>
          <w:rFonts w:ascii="Tahoma" w:hAnsi="Tahoma" w:cs="Tahoma"/>
          <w:i/>
          <w:iCs/>
          <w:lang w:val="it-IT" w:eastAsia="de-DE"/>
        </w:rPr>
      </w:pPr>
      <w:r w:rsidRPr="002968F9">
        <w:rPr>
          <w:rFonts w:ascii="Tahoma" w:hAnsi="Tahoma" w:cs="Tahoma"/>
          <w:i/>
          <w:iCs/>
          <w:lang w:val="it-IT" w:eastAsia="de-DE"/>
        </w:rPr>
        <w:t>Carlswerkstrasse 13d</w:t>
      </w:r>
    </w:p>
    <w:p w:rsidR="002968F9" w:rsidRPr="002968F9" w:rsidRDefault="002968F9" w:rsidP="00245790">
      <w:pPr>
        <w:tabs>
          <w:tab w:val="left" w:pos="8364"/>
        </w:tabs>
        <w:spacing w:before="120" w:after="120" w:line="320" w:lineRule="atLeast"/>
        <w:ind w:left="720" w:right="96"/>
        <w:jc w:val="both"/>
        <w:rPr>
          <w:rFonts w:ascii="Tahoma" w:hAnsi="Tahoma" w:cs="Tahoma"/>
          <w:i/>
          <w:iCs/>
          <w:lang w:val="it-IT" w:eastAsia="de-DE"/>
        </w:rPr>
      </w:pPr>
      <w:r w:rsidRPr="002968F9">
        <w:rPr>
          <w:rFonts w:ascii="Tahoma" w:hAnsi="Tahoma" w:cs="Tahoma"/>
          <w:i/>
          <w:iCs/>
          <w:lang w:val="it-IT" w:eastAsia="de-DE"/>
        </w:rPr>
        <w:t>51063 Cologne</w:t>
      </w:r>
    </w:p>
    <w:p w:rsidR="002968F9" w:rsidRPr="002968F9" w:rsidRDefault="002968F9" w:rsidP="00245790">
      <w:pPr>
        <w:tabs>
          <w:tab w:val="left" w:pos="8364"/>
        </w:tabs>
        <w:spacing w:before="120" w:after="120" w:line="320" w:lineRule="atLeast"/>
        <w:ind w:left="720" w:right="96"/>
        <w:jc w:val="both"/>
        <w:rPr>
          <w:rFonts w:ascii="Tahoma" w:hAnsi="Tahoma" w:cs="Tahoma"/>
          <w:i/>
          <w:iCs/>
          <w:lang w:val="it-IT" w:eastAsia="de-DE"/>
        </w:rPr>
      </w:pPr>
      <w:r w:rsidRPr="002968F9">
        <w:rPr>
          <w:rFonts w:ascii="Tahoma" w:hAnsi="Tahoma" w:cs="Tahoma"/>
          <w:i/>
          <w:iCs/>
          <w:lang w:val="it-IT" w:eastAsia="de-DE"/>
        </w:rPr>
        <w:t>Germany</w:t>
      </w:r>
    </w:p>
    <w:p w:rsidR="002968F9" w:rsidRPr="002968F9" w:rsidRDefault="002968F9" w:rsidP="00245790">
      <w:pPr>
        <w:tabs>
          <w:tab w:val="left" w:pos="8364"/>
        </w:tabs>
        <w:spacing w:before="120" w:after="120" w:line="320" w:lineRule="atLeast"/>
        <w:ind w:left="720" w:right="96"/>
        <w:jc w:val="both"/>
        <w:rPr>
          <w:rFonts w:ascii="Tahoma" w:hAnsi="Tahoma" w:cs="Tahoma"/>
          <w:lang w:val="fr-FR" w:eastAsia="de-DE"/>
        </w:rPr>
      </w:pPr>
      <w:r w:rsidRPr="002968F9">
        <w:rPr>
          <w:rFonts w:ascii="Tahoma" w:hAnsi="Tahoma" w:cs="Tahoma"/>
          <w:i/>
          <w:iCs/>
          <w:lang w:val="fr-FR" w:eastAsia="de-DE"/>
        </w:rPr>
        <w:t xml:space="preserve">Email : </w:t>
      </w:r>
      <w:hyperlink r:id="rId8" w:history="1">
        <w:r w:rsidRPr="002968F9">
          <w:rPr>
            <w:rFonts w:ascii="Tahoma" w:hAnsi="Tahoma" w:cs="Tahoma"/>
            <w:color w:val="0000FF"/>
            <w:u w:val="single"/>
            <w:lang w:val="fr-FR" w:eastAsia="de-DE"/>
          </w:rPr>
          <w:t>jaminon@gitec-consult.de</w:t>
        </w:r>
      </w:hyperlink>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w:t>
      </w:r>
      <w:r w:rsidR="00FE151B">
        <w:rPr>
          <w:rFonts w:ascii="Tahoma" w:hAnsi="Tahoma" w:cs="Tahoma"/>
          <w:lang w:val="fr-FR" w:eastAsia="de-DE"/>
        </w:rPr>
        <w:t>e maître d’ouvrage</w:t>
      </w:r>
      <w:r w:rsidRPr="002968F9">
        <w:rPr>
          <w:rFonts w:ascii="Tahoma" w:hAnsi="Tahoma" w:cs="Tahoma"/>
          <w:lang w:val="fr-FR" w:eastAsia="de-DE"/>
        </w:rPr>
        <w:t xml:space="preserve"> enverra rapidement les documents par courrier électronique mais il ne sera en aucun cas tenu responsable du retard de livraison ou de la perte des documents ainsi envoyés.</w:t>
      </w:r>
    </w:p>
    <w:p w:rsidR="002968F9" w:rsidRPr="002968F9" w:rsidRDefault="002968F9" w:rsidP="002968F9">
      <w:pPr>
        <w:tabs>
          <w:tab w:val="left" w:pos="8364"/>
        </w:tabs>
        <w:spacing w:before="120" w:after="120" w:line="320" w:lineRule="atLeast"/>
        <w:ind w:right="96"/>
        <w:jc w:val="both"/>
        <w:rPr>
          <w:rFonts w:ascii="Tahoma" w:hAnsi="Tahoma" w:cs="Tahoma"/>
          <w:b/>
          <w:i/>
          <w:lang w:val="fr-FR" w:eastAsia="de-DE"/>
        </w:rPr>
      </w:pPr>
      <w:r w:rsidRPr="002968F9">
        <w:rPr>
          <w:rFonts w:ascii="Tahoma" w:hAnsi="Tahoma" w:cs="Tahoma"/>
          <w:b/>
          <w:lang w:val="fr-FR" w:eastAsia="de-DE"/>
        </w:rPr>
        <w:t xml:space="preserve">Date limite et soumission des offres : </w:t>
      </w:r>
      <w:r w:rsidRPr="002968F9">
        <w:rPr>
          <w:rFonts w:ascii="Tahoma" w:hAnsi="Tahoma" w:cs="Tahoma"/>
          <w:lang w:val="fr-FR" w:eastAsia="de-DE"/>
        </w:rPr>
        <w:t xml:space="preserve">les demandes de qualification pour la post-qualification doivent porter la mention </w:t>
      </w:r>
      <w:r w:rsidRPr="002968F9">
        <w:rPr>
          <w:rFonts w:ascii="Tahoma" w:hAnsi="Tahoma" w:cs="Tahoma"/>
          <w:b/>
          <w:lang w:val="fr-FR" w:eastAsia="de-DE"/>
        </w:rPr>
        <w:t>« Demande de post-qualification pour les travaux de réhabilitation et construction de l’Institut Universitaire Panafricain des Sciences de l’Eau et de l’Énergie (PAUWES) »</w:t>
      </w:r>
      <w:r w:rsidRPr="002968F9">
        <w:rPr>
          <w:rFonts w:ascii="Tahoma" w:hAnsi="Tahoma" w:cs="Tahoma"/>
          <w:lang w:val="fr-FR" w:eastAsia="de-DE"/>
        </w:rPr>
        <w:t xml:space="preserve">. Elles doivent être délivrées en main propre ou par </w:t>
      </w:r>
      <w:r w:rsidRPr="002968F9">
        <w:rPr>
          <w:rFonts w:ascii="Tahoma" w:hAnsi="Tahoma" w:cs="Tahoma"/>
          <w:lang w:val="fr-FR" w:eastAsia="de-DE"/>
        </w:rPr>
        <w:lastRenderedPageBreak/>
        <w:t>courrier recommandé (du dimanche au jeudi de 9 :00h à 12 :00h et de 14 :00h à 16 :30h), à l’adresse suivante :</w:t>
      </w:r>
    </w:p>
    <w:p w:rsidR="002968F9" w:rsidRPr="00A65F78" w:rsidRDefault="002968F9" w:rsidP="00245790">
      <w:pPr>
        <w:tabs>
          <w:tab w:val="left" w:pos="8364"/>
        </w:tabs>
        <w:spacing w:before="120" w:after="120" w:line="320" w:lineRule="atLeast"/>
        <w:ind w:left="720" w:right="96"/>
        <w:jc w:val="both"/>
        <w:rPr>
          <w:rFonts w:ascii="Tahoma" w:hAnsi="Tahoma" w:cs="Tahoma"/>
          <w:i/>
          <w:iCs/>
          <w:lang w:val="fr-FR" w:eastAsia="de-DE"/>
        </w:rPr>
      </w:pPr>
      <w:r w:rsidRPr="00A65F78">
        <w:rPr>
          <w:rFonts w:ascii="Tahoma" w:hAnsi="Tahoma" w:cs="Tahoma"/>
          <w:i/>
          <w:iCs/>
          <w:lang w:val="fr-FR" w:eastAsia="de-DE"/>
        </w:rPr>
        <w:t>Université ABOUBEKR BELKAID</w:t>
      </w:r>
    </w:p>
    <w:p w:rsidR="002968F9" w:rsidRPr="00A65F78" w:rsidRDefault="002968F9" w:rsidP="00245790">
      <w:pPr>
        <w:tabs>
          <w:tab w:val="left" w:pos="8364"/>
        </w:tabs>
        <w:spacing w:before="120" w:after="120" w:line="320" w:lineRule="atLeast"/>
        <w:ind w:left="720" w:right="96"/>
        <w:jc w:val="both"/>
        <w:rPr>
          <w:rFonts w:ascii="Tahoma" w:hAnsi="Tahoma" w:cs="Tahoma"/>
          <w:i/>
          <w:iCs/>
          <w:lang w:val="de-DE" w:eastAsia="de-DE"/>
        </w:rPr>
      </w:pPr>
      <w:r w:rsidRPr="00A65F78">
        <w:rPr>
          <w:rFonts w:ascii="Tahoma" w:hAnsi="Tahoma" w:cs="Tahoma"/>
          <w:i/>
          <w:iCs/>
          <w:lang w:val="de-DE" w:eastAsia="de-DE"/>
        </w:rPr>
        <w:t>Adresse : 22, rue Abi Ayed Abdelkrim, BP119</w:t>
      </w:r>
    </w:p>
    <w:p w:rsidR="002968F9" w:rsidRPr="00A65F78" w:rsidRDefault="002968F9" w:rsidP="00245790">
      <w:pPr>
        <w:tabs>
          <w:tab w:val="left" w:pos="8364"/>
        </w:tabs>
        <w:spacing w:before="120" w:after="120" w:line="320" w:lineRule="atLeast"/>
        <w:ind w:left="720" w:right="96"/>
        <w:jc w:val="both"/>
        <w:rPr>
          <w:rFonts w:ascii="Tahoma" w:hAnsi="Tahoma" w:cs="Tahoma"/>
          <w:i/>
          <w:iCs/>
          <w:lang w:eastAsia="de-DE"/>
        </w:rPr>
      </w:pPr>
      <w:r w:rsidRPr="00A65F78">
        <w:rPr>
          <w:rFonts w:ascii="Tahoma" w:hAnsi="Tahoma" w:cs="Tahoma"/>
          <w:i/>
          <w:iCs/>
          <w:lang w:eastAsia="de-DE"/>
        </w:rPr>
        <w:t>City: 13000, Tlemcen</w:t>
      </w:r>
    </w:p>
    <w:p w:rsidR="002968F9" w:rsidRPr="00A65F78" w:rsidRDefault="002968F9" w:rsidP="00245790">
      <w:pPr>
        <w:tabs>
          <w:tab w:val="left" w:pos="8364"/>
        </w:tabs>
        <w:spacing w:before="120" w:after="120" w:line="320" w:lineRule="atLeast"/>
        <w:ind w:left="720" w:right="96"/>
        <w:jc w:val="both"/>
        <w:rPr>
          <w:rFonts w:ascii="Tahoma" w:hAnsi="Tahoma" w:cs="Tahoma"/>
          <w:i/>
          <w:iCs/>
          <w:lang w:eastAsia="de-DE"/>
        </w:rPr>
      </w:pPr>
      <w:r w:rsidRPr="00A65F78">
        <w:rPr>
          <w:rFonts w:ascii="Tahoma" w:hAnsi="Tahoma" w:cs="Tahoma"/>
          <w:i/>
          <w:iCs/>
          <w:lang w:eastAsia="de-DE"/>
        </w:rPr>
        <w:t>Country : Algérie</w:t>
      </w:r>
    </w:p>
    <w:p w:rsidR="006232B4" w:rsidRPr="00A65F78" w:rsidRDefault="006232B4" w:rsidP="00245790">
      <w:pPr>
        <w:tabs>
          <w:tab w:val="left" w:pos="8364"/>
        </w:tabs>
        <w:spacing w:before="120" w:after="120" w:line="320" w:lineRule="atLeast"/>
        <w:ind w:left="720" w:right="96"/>
        <w:jc w:val="both"/>
        <w:rPr>
          <w:rFonts w:ascii="Tahoma" w:hAnsi="Tahoma" w:cs="Tahoma"/>
          <w:i/>
          <w:iCs/>
          <w:lang w:eastAsia="de-DE"/>
        </w:rPr>
      </w:pPr>
      <w:r w:rsidRPr="00A65F78">
        <w:rPr>
          <w:rFonts w:ascii="Tahoma" w:hAnsi="Tahoma" w:cs="Tahoma"/>
          <w:i/>
          <w:iCs/>
          <w:lang w:eastAsia="de-DE"/>
        </w:rPr>
        <w:t xml:space="preserve">Projet : </w:t>
      </w:r>
      <w:r w:rsidRPr="006232B4">
        <w:rPr>
          <w:rFonts w:ascii="Tahoma" w:hAnsi="Tahoma" w:cs="Tahoma"/>
          <w:i/>
          <w:iCs/>
          <w:lang w:eastAsia="de-DE"/>
        </w:rPr>
        <w:t>Pan African University Institute of Water and Energy Sciences (including climate change) PAUWES</w:t>
      </w:r>
    </w:p>
    <w:p w:rsidR="002968F9" w:rsidRPr="002968F9" w:rsidRDefault="002968F9" w:rsidP="002968F9">
      <w:pPr>
        <w:tabs>
          <w:tab w:val="left" w:pos="8364"/>
        </w:tabs>
        <w:spacing w:before="120" w:after="120" w:line="320" w:lineRule="atLeast"/>
        <w:ind w:right="96"/>
        <w:jc w:val="both"/>
        <w:rPr>
          <w:rFonts w:ascii="Tahoma" w:hAnsi="Tahoma" w:cs="Tahoma"/>
          <w:b/>
          <w:lang w:val="fr-FR" w:eastAsia="de-DE"/>
        </w:rPr>
      </w:pPr>
      <w:r w:rsidRPr="002968F9">
        <w:rPr>
          <w:rFonts w:ascii="Tahoma" w:hAnsi="Tahoma" w:cs="Tahoma"/>
          <w:u w:val="single"/>
          <w:lang w:val="fr-FR" w:eastAsia="de-DE"/>
        </w:rPr>
        <w:t>Au plus tard le :</w:t>
      </w:r>
      <w:r w:rsidR="00346BEA">
        <w:rPr>
          <w:rFonts w:ascii="Tahoma" w:hAnsi="Tahoma" w:cs="Tahoma"/>
          <w:b/>
          <w:i/>
          <w:iCs/>
          <w:lang w:val="fr-FR" w:eastAsia="de-DE"/>
        </w:rPr>
        <w:t>1</w:t>
      </w:r>
      <w:r w:rsidR="006232B4">
        <w:rPr>
          <w:rFonts w:ascii="Tahoma" w:hAnsi="Tahoma" w:cs="Tahoma"/>
          <w:b/>
          <w:i/>
          <w:iCs/>
          <w:lang w:val="fr-FR" w:eastAsia="de-DE"/>
        </w:rPr>
        <w:t>4</w:t>
      </w:r>
      <w:r w:rsidRPr="002968F9">
        <w:rPr>
          <w:rFonts w:ascii="Tahoma" w:hAnsi="Tahoma" w:cs="Tahoma"/>
          <w:b/>
          <w:i/>
          <w:iCs/>
          <w:lang w:val="fr-FR" w:eastAsia="de-DE"/>
        </w:rPr>
        <w:t xml:space="preserve"> Octobre 2018, 1</w:t>
      </w:r>
      <w:r w:rsidR="00114EFD">
        <w:rPr>
          <w:rFonts w:ascii="Tahoma" w:hAnsi="Tahoma" w:cs="Tahoma"/>
          <w:b/>
          <w:i/>
          <w:iCs/>
          <w:lang w:val="fr-FR" w:eastAsia="de-DE"/>
        </w:rPr>
        <w:t>2</w:t>
      </w:r>
      <w:r w:rsidRPr="002968F9">
        <w:rPr>
          <w:rFonts w:ascii="Tahoma" w:hAnsi="Tahoma" w:cs="Tahoma"/>
          <w:b/>
          <w:i/>
          <w:iCs/>
          <w:lang w:val="fr-FR" w:eastAsia="de-DE"/>
        </w:rPr>
        <w:t> :00 heures (heure locale Tlemcen)</w:t>
      </w:r>
      <w:r w:rsidRPr="002968F9">
        <w:rPr>
          <w:rFonts w:ascii="Tahoma" w:hAnsi="Tahoma" w:cs="Tahoma"/>
          <w:b/>
          <w:i/>
          <w:lang w:val="fr-FR" w:eastAsia="de-DE"/>
        </w:rPr>
        <w:t>.</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Les offres remises en retard ne seront pas acceptées.</w:t>
      </w:r>
    </w:p>
    <w:p w:rsidR="002968F9" w:rsidRPr="002968F9" w:rsidRDefault="002968F9" w:rsidP="002968F9">
      <w:pPr>
        <w:tabs>
          <w:tab w:val="left" w:pos="8364"/>
        </w:tabs>
        <w:spacing w:before="120" w:after="120" w:line="320" w:lineRule="atLeast"/>
        <w:ind w:right="96"/>
        <w:jc w:val="both"/>
        <w:rPr>
          <w:rFonts w:ascii="Tahoma" w:hAnsi="Tahoma" w:cs="Tahoma"/>
          <w:b/>
          <w:lang w:val="fr-FR" w:eastAsia="de-DE"/>
        </w:rPr>
      </w:pPr>
      <w:r w:rsidRPr="002968F9">
        <w:rPr>
          <w:rFonts w:ascii="Tahoma" w:hAnsi="Tahoma" w:cs="Tahoma"/>
          <w:b/>
          <w:lang w:val="fr-FR" w:eastAsia="de-DE"/>
        </w:rPr>
        <w:t xml:space="preserve">Évaluation, attribution du marché et contrat : </w:t>
      </w:r>
      <w:r w:rsidRPr="002968F9">
        <w:rPr>
          <w:rFonts w:ascii="Tahoma" w:hAnsi="Tahoma" w:cs="Tahoma"/>
          <w:lang w:val="fr-FR" w:eastAsia="de-DE"/>
        </w:rPr>
        <w:t>la post-qualification se fera en respectant les procédures de post-qualification conformément aux « Directives de la KfW pour la surveillance des biens, travaux et services associés en matière de coopération financière avec les pays partenaires » (août 2016) et au « Manuel de passation des marchés, version 2.0 de l'Union Africaine » (juillet 2016).La post-qualification est ouverte à toutes les entreprises nationales et internationales et aux groupements d’entreprises constitués volontairement.</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Le prérequis nécessaire pour la post-qualification sera d'avoir effectué avec succès des travaux de même nature dans un environnement similaire et de satisfaire aux critères d'éligibilité détaillés dans le document d'appel d'offres.</w:t>
      </w:r>
    </w:p>
    <w:p w:rsidR="002968F9" w:rsidRPr="002968F9" w:rsidRDefault="002968F9" w:rsidP="002968F9">
      <w:pPr>
        <w:tabs>
          <w:tab w:val="left" w:pos="8364"/>
        </w:tabs>
        <w:spacing w:before="120" w:after="120" w:line="320" w:lineRule="atLeast"/>
        <w:ind w:right="96"/>
        <w:jc w:val="both"/>
        <w:rPr>
          <w:rFonts w:ascii="Tahoma" w:hAnsi="Tahoma" w:cs="Tahoma"/>
          <w:lang w:val="fr-FR" w:eastAsia="de-DE"/>
        </w:rPr>
      </w:pPr>
      <w:r w:rsidRPr="002968F9">
        <w:rPr>
          <w:rFonts w:ascii="Tahoma" w:hAnsi="Tahoma" w:cs="Tahoma"/>
          <w:lang w:val="fr-FR" w:eastAsia="de-DE"/>
        </w:rPr>
        <w:t>Une expérience et des compétences particulières sont requises dans les domaines suivants</w:t>
      </w:r>
      <w:r w:rsidR="00114EFD">
        <w:rPr>
          <w:rFonts w:ascii="Tahoma" w:hAnsi="Tahoma" w:cs="Tahoma"/>
          <w:lang w:val="fr-FR" w:eastAsia="de-DE"/>
        </w:rPr>
        <w:t xml:space="preserve">  (réfé</w:t>
      </w:r>
      <w:r w:rsidR="00114EFD" w:rsidRPr="00114EFD">
        <w:rPr>
          <w:rFonts w:ascii="Tahoma" w:hAnsi="Tahoma" w:cs="Tahoma"/>
          <w:lang w:val="fr-FR" w:eastAsia="de-DE"/>
        </w:rPr>
        <w:t>rence</w:t>
      </w:r>
      <w:r w:rsidR="00114EFD">
        <w:rPr>
          <w:rFonts w:ascii="Tahoma" w:hAnsi="Tahoma" w:cs="Tahoma"/>
          <w:lang w:val="fr-FR" w:eastAsia="de-DE"/>
        </w:rPr>
        <w:t>s</w:t>
      </w:r>
      <w:r w:rsidR="00114EFD" w:rsidRPr="00114EFD">
        <w:rPr>
          <w:rFonts w:ascii="Tahoma" w:hAnsi="Tahoma" w:cs="Tahoma"/>
          <w:lang w:val="fr-FR" w:eastAsia="de-DE"/>
        </w:rPr>
        <w:t xml:space="preserve"> par attestation</w:t>
      </w:r>
      <w:r w:rsidR="00114EFD">
        <w:rPr>
          <w:rFonts w:ascii="Tahoma" w:hAnsi="Tahoma" w:cs="Tahoma"/>
          <w:lang w:val="fr-FR" w:eastAsia="de-DE"/>
        </w:rPr>
        <w:t>s</w:t>
      </w:r>
      <w:r w:rsidR="00114EFD" w:rsidRPr="00114EFD">
        <w:rPr>
          <w:rFonts w:ascii="Tahoma" w:hAnsi="Tahoma" w:cs="Tahoma"/>
          <w:lang w:val="fr-FR" w:eastAsia="de-DE"/>
        </w:rPr>
        <w:t xml:space="preserve"> de bonne exécution</w:t>
      </w:r>
      <w:r w:rsidR="00114EFD">
        <w:rPr>
          <w:rFonts w:ascii="Tahoma" w:hAnsi="Tahoma" w:cs="Tahoma"/>
          <w:lang w:val="fr-FR" w:eastAsia="de-DE"/>
        </w:rPr>
        <w:t>)</w:t>
      </w:r>
      <w:r w:rsidRPr="002968F9">
        <w:rPr>
          <w:rFonts w:ascii="Tahoma" w:hAnsi="Tahoma" w:cs="Tahoma"/>
          <w:lang w:val="fr-FR" w:eastAsia="de-DE"/>
        </w:rPr>
        <w:t>:</w:t>
      </w:r>
    </w:p>
    <w:p w:rsidR="002968F9" w:rsidRPr="002968F9" w:rsidRDefault="002968F9" w:rsidP="002968F9">
      <w:pPr>
        <w:tabs>
          <w:tab w:val="left" w:pos="8364"/>
        </w:tabs>
        <w:spacing w:before="120" w:after="120" w:line="320" w:lineRule="atLeast"/>
        <w:ind w:left="708" w:right="96"/>
        <w:jc w:val="both"/>
        <w:rPr>
          <w:rFonts w:ascii="Tahoma" w:hAnsi="Tahoma" w:cs="Tahoma"/>
          <w:lang w:val="fr-FR" w:eastAsia="de-DE"/>
        </w:rPr>
      </w:pPr>
      <w:r w:rsidRPr="002968F9">
        <w:rPr>
          <w:rFonts w:ascii="Tahoma" w:hAnsi="Tahoma" w:cs="Tahoma"/>
          <w:lang w:val="fr-FR" w:eastAsia="de-DE"/>
        </w:rPr>
        <w:t>-Charpente métallique (Lot A). Le soumissionnaire doit avoir finalisé un projet en structure métallique ;</w:t>
      </w:r>
    </w:p>
    <w:p w:rsidR="002968F9" w:rsidRPr="002968F9" w:rsidRDefault="002968F9" w:rsidP="002968F9">
      <w:pPr>
        <w:tabs>
          <w:tab w:val="left" w:pos="8364"/>
        </w:tabs>
        <w:spacing w:before="120" w:after="120" w:line="320" w:lineRule="atLeast"/>
        <w:ind w:left="708" w:right="96"/>
        <w:jc w:val="both"/>
        <w:rPr>
          <w:rFonts w:ascii="Tahoma" w:hAnsi="Tahoma" w:cs="Tahoma"/>
          <w:lang w:val="fr-FR" w:eastAsia="de-DE"/>
        </w:rPr>
      </w:pPr>
      <w:r w:rsidRPr="002968F9">
        <w:rPr>
          <w:rFonts w:ascii="Tahoma" w:hAnsi="Tahoma" w:cs="Tahoma"/>
          <w:lang w:val="fr-FR" w:eastAsia="de-DE"/>
        </w:rPr>
        <w:t>-Chauffage solaire et système électrique photovoltaïque (Lot B). Le soumissionnaire doit avoir finalisé un projet de chauffage solaire et de système électrique photovoltaïque ;</w:t>
      </w:r>
    </w:p>
    <w:p w:rsidR="002968F9" w:rsidRPr="002968F9" w:rsidRDefault="002968F9" w:rsidP="002968F9">
      <w:pPr>
        <w:tabs>
          <w:tab w:val="left" w:pos="8364"/>
        </w:tabs>
        <w:spacing w:before="120" w:after="120" w:line="320" w:lineRule="atLeast"/>
        <w:ind w:left="708" w:right="96"/>
        <w:jc w:val="both"/>
        <w:rPr>
          <w:rFonts w:ascii="Tahoma" w:hAnsi="Tahoma" w:cs="Tahoma"/>
          <w:lang w:val="fr-FR" w:eastAsia="de-DE"/>
        </w:rPr>
      </w:pPr>
      <w:r w:rsidRPr="002968F9">
        <w:rPr>
          <w:rFonts w:ascii="Tahoma" w:hAnsi="Tahoma" w:cs="Tahoma"/>
          <w:lang w:val="fr-FR" w:eastAsia="de-DE"/>
        </w:rPr>
        <w:t>-HVAC et « services pour les bâtiments, équipement centralisé et installation » (Lot C). Le soumissionnaire doit avoir finalisé un projet en comprenant un système HVAC et des « services pour les bâtiments, équipement centralisé et installation ».</w:t>
      </w:r>
    </w:p>
    <w:p w:rsidR="002968F9" w:rsidRPr="002968F9" w:rsidRDefault="002968F9" w:rsidP="002968F9">
      <w:pPr>
        <w:spacing w:before="120" w:after="120" w:line="320" w:lineRule="atLeast"/>
        <w:ind w:right="1134"/>
        <w:jc w:val="both"/>
        <w:rPr>
          <w:rFonts w:ascii="Arial" w:hAnsi="Arial" w:cs="Arial"/>
          <w:sz w:val="22"/>
          <w:szCs w:val="22"/>
          <w:lang w:val="fr-FR" w:eastAsia="de-DE"/>
        </w:rPr>
      </w:pPr>
    </w:p>
    <w:p w:rsidR="002968F9" w:rsidRPr="00D35AFB" w:rsidRDefault="002968F9" w:rsidP="00582D6B">
      <w:pPr>
        <w:rPr>
          <w:rFonts w:ascii="Tahoma" w:hAnsi="Tahoma" w:cs="Tahoma"/>
          <w:lang w:val="fr-FR"/>
        </w:rPr>
      </w:pPr>
    </w:p>
    <w:sectPr w:rsidR="002968F9" w:rsidRPr="00D35AFB" w:rsidSect="006D6198">
      <w:footerReference w:type="default" r:id="rId9"/>
      <w:pgSz w:w="11906" w:h="16838"/>
      <w:pgMar w:top="900" w:right="2006"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28" w:rsidRDefault="00084928" w:rsidP="00C9068D">
      <w:r>
        <w:separator/>
      </w:r>
    </w:p>
  </w:endnote>
  <w:endnote w:type="continuationSeparator" w:id="1">
    <w:p w:rsidR="00084928" w:rsidRDefault="00084928" w:rsidP="00C90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22453"/>
      <w:docPartObj>
        <w:docPartGallery w:val="Page Numbers (Bottom of Page)"/>
        <w:docPartUnique/>
      </w:docPartObj>
    </w:sdtPr>
    <w:sdtEndPr>
      <w:rPr>
        <w:rFonts w:ascii="Tahoma" w:hAnsi="Tahoma" w:cs="Tahoma"/>
        <w:sz w:val="20"/>
        <w:szCs w:val="20"/>
      </w:rPr>
    </w:sdtEndPr>
    <w:sdtContent>
      <w:p w:rsidR="00C9068D" w:rsidRPr="00D35AFB" w:rsidRDefault="00C9068D">
        <w:pPr>
          <w:pStyle w:val="Pieddepage"/>
          <w:jc w:val="center"/>
          <w:rPr>
            <w:rFonts w:ascii="Tahoma" w:hAnsi="Tahoma" w:cs="Tahoma"/>
            <w:sz w:val="20"/>
            <w:szCs w:val="20"/>
          </w:rPr>
        </w:pPr>
        <w:r w:rsidRPr="00D35AFB">
          <w:rPr>
            <w:rFonts w:ascii="Tahoma" w:hAnsi="Tahoma" w:cs="Tahoma"/>
            <w:sz w:val="20"/>
            <w:szCs w:val="20"/>
          </w:rPr>
          <w:t xml:space="preserve">- </w:t>
        </w:r>
        <w:r w:rsidR="00B70303" w:rsidRPr="00D35AFB">
          <w:rPr>
            <w:rFonts w:ascii="Tahoma" w:hAnsi="Tahoma" w:cs="Tahoma"/>
            <w:sz w:val="20"/>
            <w:szCs w:val="20"/>
          </w:rPr>
          <w:fldChar w:fldCharType="begin"/>
        </w:r>
        <w:r w:rsidRPr="00D35AFB">
          <w:rPr>
            <w:rFonts w:ascii="Tahoma" w:hAnsi="Tahoma" w:cs="Tahoma"/>
            <w:sz w:val="20"/>
            <w:szCs w:val="20"/>
          </w:rPr>
          <w:instrText>PAGE   \* MERGEFORMAT</w:instrText>
        </w:r>
        <w:r w:rsidR="00B70303" w:rsidRPr="00D35AFB">
          <w:rPr>
            <w:rFonts w:ascii="Tahoma" w:hAnsi="Tahoma" w:cs="Tahoma"/>
            <w:sz w:val="20"/>
            <w:szCs w:val="20"/>
          </w:rPr>
          <w:fldChar w:fldCharType="separate"/>
        </w:r>
        <w:r w:rsidR="0004436E" w:rsidRPr="0004436E">
          <w:rPr>
            <w:rFonts w:ascii="Tahoma" w:hAnsi="Tahoma" w:cs="Tahoma"/>
            <w:noProof/>
            <w:sz w:val="20"/>
            <w:szCs w:val="20"/>
            <w:lang w:val="de-DE"/>
          </w:rPr>
          <w:t>1</w:t>
        </w:r>
        <w:r w:rsidR="00B70303" w:rsidRPr="00D35AFB">
          <w:rPr>
            <w:rFonts w:ascii="Tahoma" w:hAnsi="Tahoma" w:cs="Tahoma"/>
            <w:sz w:val="20"/>
            <w:szCs w:val="20"/>
          </w:rPr>
          <w:fldChar w:fldCharType="end"/>
        </w:r>
        <w:r w:rsidRPr="00D35AFB">
          <w:rPr>
            <w:rFonts w:ascii="Tahoma" w:hAnsi="Tahoma" w:cs="Tahoma"/>
            <w:sz w:val="20"/>
            <w:szCs w:val="20"/>
          </w:rPr>
          <w:t>/3 -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28" w:rsidRDefault="00084928" w:rsidP="00C9068D">
      <w:r>
        <w:separator/>
      </w:r>
    </w:p>
  </w:footnote>
  <w:footnote w:type="continuationSeparator" w:id="1">
    <w:p w:rsidR="00084928" w:rsidRDefault="00084928" w:rsidP="00C90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2669"/>
    <w:multiLevelType w:val="hybridMultilevel"/>
    <w:tmpl w:val="D48C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30D59"/>
    <w:multiLevelType w:val="hybridMultilevel"/>
    <w:tmpl w:val="C55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25E41"/>
    <w:multiLevelType w:val="hybridMultilevel"/>
    <w:tmpl w:val="D1B6E0FA"/>
    <w:lvl w:ilvl="0" w:tplc="32DC9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374CA2"/>
    <w:rsid w:val="0002136C"/>
    <w:rsid w:val="00032D42"/>
    <w:rsid w:val="0004436E"/>
    <w:rsid w:val="000707B1"/>
    <w:rsid w:val="000714C6"/>
    <w:rsid w:val="000769CE"/>
    <w:rsid w:val="00082EF8"/>
    <w:rsid w:val="00083818"/>
    <w:rsid w:val="00084928"/>
    <w:rsid w:val="0009156A"/>
    <w:rsid w:val="000A42DA"/>
    <w:rsid w:val="000C0BCA"/>
    <w:rsid w:val="000D2BCA"/>
    <w:rsid w:val="000D4F81"/>
    <w:rsid w:val="000F0E9A"/>
    <w:rsid w:val="000F37DE"/>
    <w:rsid w:val="00114EFD"/>
    <w:rsid w:val="00132FFC"/>
    <w:rsid w:val="001634D8"/>
    <w:rsid w:val="00190B73"/>
    <w:rsid w:val="001E2420"/>
    <w:rsid w:val="002447C1"/>
    <w:rsid w:val="00245790"/>
    <w:rsid w:val="002656B3"/>
    <w:rsid w:val="00265811"/>
    <w:rsid w:val="002968F9"/>
    <w:rsid w:val="002B7751"/>
    <w:rsid w:val="00303645"/>
    <w:rsid w:val="00337DB7"/>
    <w:rsid w:val="00341CAF"/>
    <w:rsid w:val="00346BEA"/>
    <w:rsid w:val="00371355"/>
    <w:rsid w:val="00372D71"/>
    <w:rsid w:val="00374CA2"/>
    <w:rsid w:val="00384569"/>
    <w:rsid w:val="00394AB2"/>
    <w:rsid w:val="003E1E78"/>
    <w:rsid w:val="003F36CD"/>
    <w:rsid w:val="004227E4"/>
    <w:rsid w:val="00445414"/>
    <w:rsid w:val="00461B60"/>
    <w:rsid w:val="0047744D"/>
    <w:rsid w:val="004D5B34"/>
    <w:rsid w:val="004F3282"/>
    <w:rsid w:val="005178C7"/>
    <w:rsid w:val="005241BB"/>
    <w:rsid w:val="00524FC8"/>
    <w:rsid w:val="00576C0D"/>
    <w:rsid w:val="00582D6B"/>
    <w:rsid w:val="005A23CD"/>
    <w:rsid w:val="0061366B"/>
    <w:rsid w:val="006232B4"/>
    <w:rsid w:val="0063751F"/>
    <w:rsid w:val="0064221C"/>
    <w:rsid w:val="0068339A"/>
    <w:rsid w:val="006836ED"/>
    <w:rsid w:val="00690EC3"/>
    <w:rsid w:val="006A4954"/>
    <w:rsid w:val="006B45CB"/>
    <w:rsid w:val="006D6198"/>
    <w:rsid w:val="006E3F68"/>
    <w:rsid w:val="006E4E4A"/>
    <w:rsid w:val="006F321A"/>
    <w:rsid w:val="006F5D3E"/>
    <w:rsid w:val="00772835"/>
    <w:rsid w:val="007879A0"/>
    <w:rsid w:val="007B2A46"/>
    <w:rsid w:val="007D12B5"/>
    <w:rsid w:val="008043AC"/>
    <w:rsid w:val="008331C3"/>
    <w:rsid w:val="00835630"/>
    <w:rsid w:val="00850ED6"/>
    <w:rsid w:val="00854749"/>
    <w:rsid w:val="00857CD5"/>
    <w:rsid w:val="00865E90"/>
    <w:rsid w:val="00865EFE"/>
    <w:rsid w:val="0086742D"/>
    <w:rsid w:val="00887F45"/>
    <w:rsid w:val="00892454"/>
    <w:rsid w:val="008B4638"/>
    <w:rsid w:val="008F523F"/>
    <w:rsid w:val="009046CB"/>
    <w:rsid w:val="00907FEF"/>
    <w:rsid w:val="00923AE3"/>
    <w:rsid w:val="009333B7"/>
    <w:rsid w:val="0094752D"/>
    <w:rsid w:val="00951152"/>
    <w:rsid w:val="009543B3"/>
    <w:rsid w:val="00955508"/>
    <w:rsid w:val="0096143F"/>
    <w:rsid w:val="00975E6D"/>
    <w:rsid w:val="0098442C"/>
    <w:rsid w:val="009C2715"/>
    <w:rsid w:val="009C30A3"/>
    <w:rsid w:val="009C4C24"/>
    <w:rsid w:val="009D3CF1"/>
    <w:rsid w:val="009F5058"/>
    <w:rsid w:val="009F6A38"/>
    <w:rsid w:val="00A35191"/>
    <w:rsid w:val="00A42B27"/>
    <w:rsid w:val="00A60757"/>
    <w:rsid w:val="00A61673"/>
    <w:rsid w:val="00A63DA9"/>
    <w:rsid w:val="00A65F78"/>
    <w:rsid w:val="00A745BF"/>
    <w:rsid w:val="00A85ADF"/>
    <w:rsid w:val="00A90F6A"/>
    <w:rsid w:val="00A96427"/>
    <w:rsid w:val="00AA0454"/>
    <w:rsid w:val="00AA34FE"/>
    <w:rsid w:val="00AB1D87"/>
    <w:rsid w:val="00AC1781"/>
    <w:rsid w:val="00AE2EC9"/>
    <w:rsid w:val="00B00B66"/>
    <w:rsid w:val="00B366EF"/>
    <w:rsid w:val="00B420FE"/>
    <w:rsid w:val="00B45EB0"/>
    <w:rsid w:val="00B70303"/>
    <w:rsid w:val="00B72C80"/>
    <w:rsid w:val="00B85D97"/>
    <w:rsid w:val="00C02ADC"/>
    <w:rsid w:val="00C258CB"/>
    <w:rsid w:val="00C36BB6"/>
    <w:rsid w:val="00C463EA"/>
    <w:rsid w:val="00C73491"/>
    <w:rsid w:val="00C9068D"/>
    <w:rsid w:val="00C948B6"/>
    <w:rsid w:val="00CB4946"/>
    <w:rsid w:val="00CD2FA5"/>
    <w:rsid w:val="00CD42AB"/>
    <w:rsid w:val="00CD5537"/>
    <w:rsid w:val="00D01601"/>
    <w:rsid w:val="00D05865"/>
    <w:rsid w:val="00D35AFB"/>
    <w:rsid w:val="00D36BF3"/>
    <w:rsid w:val="00D51C1F"/>
    <w:rsid w:val="00D65AF7"/>
    <w:rsid w:val="00D744CC"/>
    <w:rsid w:val="00DA1A59"/>
    <w:rsid w:val="00DC4D67"/>
    <w:rsid w:val="00E11A5A"/>
    <w:rsid w:val="00E178ED"/>
    <w:rsid w:val="00E659D3"/>
    <w:rsid w:val="00E767E2"/>
    <w:rsid w:val="00E82FD8"/>
    <w:rsid w:val="00EE1309"/>
    <w:rsid w:val="00EE1BD0"/>
    <w:rsid w:val="00EF160E"/>
    <w:rsid w:val="00EF33B1"/>
    <w:rsid w:val="00F26929"/>
    <w:rsid w:val="00F32E8E"/>
    <w:rsid w:val="00F72E1E"/>
    <w:rsid w:val="00F808F7"/>
    <w:rsid w:val="00FA65D0"/>
    <w:rsid w:val="00FD114C"/>
    <w:rsid w:val="00FE151B"/>
    <w:rsid w:val="00FE2F04"/>
    <w:rsid w:val="00FF29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A2"/>
    <w:pPr>
      <w:spacing w:after="0" w:line="240" w:lineRule="auto"/>
    </w:pPr>
    <w:rPr>
      <w:rFonts w:ascii="Times New Roman" w:eastAsia="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74CA2"/>
    <w:rPr>
      <w:color w:val="0000FF"/>
      <w:u w:val="single"/>
    </w:rPr>
  </w:style>
  <w:style w:type="paragraph" w:styleId="Paragraphedeliste">
    <w:name w:val="List Paragraph"/>
    <w:basedOn w:val="Normal"/>
    <w:uiPriority w:val="34"/>
    <w:qFormat/>
    <w:rsid w:val="00374CA2"/>
    <w:pPr>
      <w:ind w:left="720"/>
    </w:pPr>
  </w:style>
  <w:style w:type="table" w:styleId="Grilledutableau">
    <w:name w:val="Table Grid"/>
    <w:basedOn w:val="TableauNormal"/>
    <w:rsid w:val="00374C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850ED6"/>
    <w:rPr>
      <w:color w:val="954F72" w:themeColor="followedHyperlink"/>
      <w:u w:val="single"/>
    </w:rPr>
  </w:style>
  <w:style w:type="character" w:styleId="Accentuation">
    <w:name w:val="Emphasis"/>
    <w:basedOn w:val="Policepardfaut"/>
    <w:uiPriority w:val="20"/>
    <w:qFormat/>
    <w:rsid w:val="00857CD5"/>
    <w:rPr>
      <w:b/>
      <w:bCs/>
      <w:i w:val="0"/>
      <w:iCs w:val="0"/>
    </w:rPr>
  </w:style>
  <w:style w:type="character" w:customStyle="1" w:styleId="st1">
    <w:name w:val="st1"/>
    <w:basedOn w:val="Policepardfaut"/>
    <w:rsid w:val="00857CD5"/>
  </w:style>
  <w:style w:type="character" w:styleId="Marquedecommentaire">
    <w:name w:val="annotation reference"/>
    <w:basedOn w:val="Policepardfaut"/>
    <w:uiPriority w:val="99"/>
    <w:semiHidden/>
    <w:unhideWhenUsed/>
    <w:rsid w:val="0098442C"/>
    <w:rPr>
      <w:sz w:val="18"/>
      <w:szCs w:val="18"/>
    </w:rPr>
  </w:style>
  <w:style w:type="paragraph" w:styleId="Commentaire">
    <w:name w:val="annotation text"/>
    <w:basedOn w:val="Normal"/>
    <w:link w:val="CommentaireCar"/>
    <w:uiPriority w:val="99"/>
    <w:semiHidden/>
    <w:unhideWhenUsed/>
    <w:rsid w:val="0098442C"/>
    <w:rPr>
      <w:lang w:val="en-US" w:eastAsia="en-US"/>
    </w:rPr>
  </w:style>
  <w:style w:type="character" w:customStyle="1" w:styleId="CommentaireCar">
    <w:name w:val="Commentaire Car"/>
    <w:basedOn w:val="Policepardfaut"/>
    <w:link w:val="Commentaire"/>
    <w:uiPriority w:val="99"/>
    <w:semiHidden/>
    <w:rsid w:val="0098442C"/>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9844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442C"/>
    <w:rPr>
      <w:rFonts w:ascii="Lucida Grande" w:eastAsia="Times New Roman" w:hAnsi="Lucida Grande" w:cs="Lucida Grande"/>
      <w:sz w:val="18"/>
      <w:szCs w:val="18"/>
      <w:lang w:val="en-GB" w:eastAsia="en-GB"/>
    </w:rPr>
  </w:style>
  <w:style w:type="paragraph" w:styleId="En-tte">
    <w:name w:val="header"/>
    <w:basedOn w:val="Normal"/>
    <w:link w:val="En-tteCar"/>
    <w:uiPriority w:val="99"/>
    <w:unhideWhenUsed/>
    <w:rsid w:val="00C9068D"/>
    <w:pPr>
      <w:tabs>
        <w:tab w:val="center" w:pos="4536"/>
        <w:tab w:val="right" w:pos="9072"/>
      </w:tabs>
    </w:pPr>
  </w:style>
  <w:style w:type="character" w:customStyle="1" w:styleId="En-tteCar">
    <w:name w:val="En-tête Car"/>
    <w:basedOn w:val="Policepardfaut"/>
    <w:link w:val="En-tte"/>
    <w:uiPriority w:val="99"/>
    <w:rsid w:val="00C9068D"/>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C9068D"/>
    <w:pPr>
      <w:tabs>
        <w:tab w:val="center" w:pos="4536"/>
        <w:tab w:val="right" w:pos="9072"/>
      </w:tabs>
    </w:pPr>
  </w:style>
  <w:style w:type="character" w:customStyle="1" w:styleId="PieddepageCar">
    <w:name w:val="Pied de page Car"/>
    <w:basedOn w:val="Policepardfaut"/>
    <w:link w:val="Pieddepage"/>
    <w:uiPriority w:val="99"/>
    <w:rsid w:val="00C9068D"/>
    <w:rPr>
      <w:rFonts w:ascii="Times New Roman" w:eastAsia="Times New Roman" w:hAnsi="Times New Roman" w:cs="Times New Roman"/>
      <w:sz w:val="24"/>
      <w:szCs w:val="24"/>
      <w:lang w:val="en-GB" w:eastAsia="en-GB"/>
    </w:rPr>
  </w:style>
  <w:style w:type="paragraph" w:styleId="Objetducommentaire">
    <w:name w:val="annotation subject"/>
    <w:basedOn w:val="Commentaire"/>
    <w:next w:val="Commentaire"/>
    <w:link w:val="ObjetducommentaireCar"/>
    <w:uiPriority w:val="99"/>
    <w:semiHidden/>
    <w:unhideWhenUsed/>
    <w:rsid w:val="00FE151B"/>
    <w:rPr>
      <w:b/>
      <w:bCs/>
      <w:sz w:val="20"/>
      <w:szCs w:val="20"/>
      <w:lang w:val="en-GB" w:eastAsia="en-GB"/>
    </w:rPr>
  </w:style>
  <w:style w:type="character" w:customStyle="1" w:styleId="ObjetducommentaireCar">
    <w:name w:val="Objet du commentaire Car"/>
    <w:basedOn w:val="CommentaireCar"/>
    <w:link w:val="Objetducommentaire"/>
    <w:uiPriority w:val="99"/>
    <w:semiHidden/>
    <w:rsid w:val="00FE151B"/>
    <w:rPr>
      <w:rFonts w:ascii="Times New Roman" w:eastAsia="Times New Roman" w:hAnsi="Times New Roman" w:cs="Times New Roman"/>
      <w:b/>
      <w:bCs/>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non@gitec-consul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8376-24C6-441D-A640-34D4657C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5594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Dean Anderson</dc:creator>
  <cp:lastModifiedBy>CRI-MEDECINE</cp:lastModifiedBy>
  <cp:revision>2</cp:revision>
  <cp:lastPrinted>2018-08-15T11:41:00Z</cp:lastPrinted>
  <dcterms:created xsi:type="dcterms:W3CDTF">2018-08-28T10:42:00Z</dcterms:created>
  <dcterms:modified xsi:type="dcterms:W3CDTF">2018-08-28T10:42:00Z</dcterms:modified>
</cp:coreProperties>
</file>