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Cambria" w:hAnsi="Cambria"/>
          <w:b/>
          <w:bCs/>
          <w:sz w:val="32"/>
          <w:szCs w:val="32"/>
          <w:lang w:bidi="ar-DZ"/>
        </w:rPr>
      </w:pPr>
      <w:r>
        <w:rPr>
          <w:rFonts w:ascii="Cambria" w:hAnsi="Cambria"/>
          <w:b/>
          <w:bCs/>
          <w:sz w:val="32"/>
          <w:szCs w:val="32"/>
          <w:rtl/>
          <w:lang w:bidi="ar-DZ"/>
        </w:rPr>
        <w:t xml:space="preserve">الجمهورية  الجزائرية الديمقراطية  الشعبية </w:t>
      </w:r>
      <w:r>
        <w:rPr>
          <w:rFonts w:ascii="Cambria" w:hAnsi="Cambria"/>
          <w:b/>
          <w:bCs/>
          <w:sz w:val="32"/>
          <w:szCs w:val="32"/>
          <w:lang w:bidi="ar-DZ"/>
        </w:rPr>
        <w:t xml:space="preserve"> </w:t>
      </w:r>
    </w:p>
    <w:p>
      <w:pPr>
        <w:spacing w:after="0" w:line="240" w:lineRule="auto"/>
        <w:jc w:val="center"/>
        <w:rPr>
          <w:rFonts w:ascii="Garamond" w:hAnsi="Garamond" w:cs="Times New Roman"/>
          <w:b/>
          <w:bCs/>
          <w:sz w:val="32"/>
          <w:szCs w:val="32"/>
          <w:rtl/>
          <w:lang w:bidi="ar-DZ"/>
        </w:rPr>
      </w:pPr>
      <w:r>
        <w:rPr>
          <w:rFonts w:ascii="Garamond" w:hAnsi="Garamond" w:cs="Times New Roman"/>
          <w:b/>
          <w:bCs/>
          <w:sz w:val="32"/>
          <w:szCs w:val="32"/>
          <w:rtl/>
          <w:lang w:bidi="ar-DZ"/>
        </w:rPr>
        <w:t>وزارة التعليم العالي و البحث العلمي</w:t>
      </w:r>
    </w:p>
    <w:p>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République Algérienne Démocratique et Populaire</w:t>
      </w:r>
    </w:p>
    <w:p>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Ministère de l’enseignement supérieur et de la recherche scientifique</w:t>
      </w:r>
    </w:p>
    <w:p>
      <w:pPr>
        <w:jc w:val="both"/>
        <w:rPr>
          <w:rFonts w:asciiTheme="majorBidi" w:hAnsiTheme="majorBidi" w:cstheme="majorBidi"/>
        </w:rPr>
      </w:pPr>
    </w:p>
    <w:p>
      <w:pPr>
        <w:rPr>
          <w:rFonts w:asciiTheme="majorBidi" w:hAnsiTheme="majorBidi" w:cstheme="majorBidi"/>
        </w:rPr>
      </w:pPr>
    </w:p>
    <w:p>
      <w:pPr>
        <w:rPr>
          <w:rFonts w:asciiTheme="majorBidi" w:hAnsiTheme="majorBidi" w:cstheme="majorBidi"/>
        </w:rPr>
      </w:pPr>
    </w:p>
    <w:p>
      <w:pPr>
        <w:spacing w:after="0" w:line="240" w:lineRule="auto"/>
        <w:rPr>
          <w:rFonts w:ascii="Times New Roman" w:hAnsi="Times New Roman" w:cs="Times New Roman"/>
          <w:b/>
          <w:bCs/>
          <w:sz w:val="30"/>
          <w:szCs w:val="30"/>
          <w:lang w:bidi="ar-DZ"/>
        </w:rPr>
      </w:pPr>
      <w:r>
        <w:rPr>
          <w:rFonts w:ascii="Times New Roman" w:hAnsi="Times New Roman" w:cs="Times New Roman"/>
          <w:b/>
          <w:bCs/>
          <w:sz w:val="30"/>
          <w:szCs w:val="30"/>
          <w:lang w:bidi="ar-DZ"/>
        </w:rPr>
        <w:t xml:space="preserve">            </w:t>
      </w:r>
      <w:r>
        <w:rPr>
          <w:lang w:eastAsia="fr-FR"/>
        </w:rPr>
        <w:drawing>
          <wp:inline distT="0" distB="0" distL="0" distR="0">
            <wp:extent cx="1371600" cy="111442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71600" cy="1114425"/>
                    </a:xfrm>
                    <a:prstGeom prst="rect">
                      <a:avLst/>
                    </a:prstGeom>
                    <a:noFill/>
                    <a:ln>
                      <a:noFill/>
                    </a:ln>
                  </pic:spPr>
                </pic:pic>
              </a:graphicData>
            </a:graphic>
          </wp:inline>
        </w:drawing>
      </w:r>
      <w:r>
        <w:rPr>
          <w:rFonts w:ascii="Times New Roman" w:hAnsi="Times New Roman" w:cs="Times New Roman"/>
          <w:b/>
          <w:bCs/>
          <w:sz w:val="30"/>
          <w:szCs w:val="30"/>
          <w:lang w:bidi="ar-DZ"/>
        </w:rPr>
        <w:t xml:space="preserve">                                            </w:t>
      </w:r>
      <w:r>
        <w:rPr>
          <w:rFonts w:ascii="Arial Narrow" w:hAnsi="Arial Narrow"/>
          <w:sz w:val="24"/>
          <w:szCs w:val="24"/>
          <w:lang w:eastAsia="fr-FR"/>
        </w:rPr>
        <w:drawing>
          <wp:inline distT="0" distB="0" distL="0" distR="0">
            <wp:extent cx="1650365" cy="878205"/>
            <wp:effectExtent l="0" t="0" r="698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65949" cy="886908"/>
                    </a:xfrm>
                    <a:prstGeom prst="rect">
                      <a:avLst/>
                    </a:prstGeom>
                    <a:noFill/>
                    <a:ln>
                      <a:noFill/>
                    </a:ln>
                  </pic:spPr>
                </pic:pic>
              </a:graphicData>
            </a:graphic>
          </wp:inline>
        </w:drawing>
      </w:r>
    </w:p>
    <w:p>
      <w:pPr>
        <w:spacing w:after="0" w:line="240" w:lineRule="auto"/>
        <w:rPr>
          <w:rFonts w:ascii="Cambria" w:hAnsi="Cambria"/>
          <w:b/>
          <w:bCs/>
          <w:sz w:val="30"/>
          <w:szCs w:val="30"/>
          <w:lang w:bidi="ar-DZ"/>
        </w:rPr>
      </w:pPr>
      <w:r>
        <w:rPr>
          <w:rFonts w:ascii="Times New Roman" w:hAnsi="Times New Roman" w:cs="Times New Roman"/>
          <w:b/>
          <w:bCs/>
          <w:sz w:val="24"/>
          <w:szCs w:val="24"/>
          <w:lang w:bidi="ar-DZ"/>
        </w:rPr>
        <w:t>COMMISSION DES ŒUVRES SOCIALES</w:t>
      </w:r>
      <w:r>
        <w:rPr>
          <w:rFonts w:ascii="Cambria" w:hAnsi="Cambria"/>
          <w:b/>
          <w:bCs/>
          <w:sz w:val="30"/>
          <w:szCs w:val="30"/>
          <w:lang w:bidi="ar-DZ"/>
        </w:rPr>
        <w:t xml:space="preserve"> </w:t>
      </w:r>
    </w:p>
    <w:p>
      <w:pPr>
        <w:rPr>
          <w:rFonts w:asciiTheme="majorBidi" w:hAnsiTheme="majorBidi" w:cstheme="majorBidi"/>
        </w:rPr>
      </w:pPr>
    </w:p>
    <w:p>
      <w:pPr>
        <w:jc w:val="right"/>
        <w:rPr>
          <w:rFonts w:asciiTheme="majorBidi" w:hAnsiTheme="majorBidi" w:cstheme="majorBidi"/>
        </w:rPr>
      </w:pPr>
    </w:p>
    <w:p>
      <w:pPr>
        <w:jc w:val="right"/>
        <w:rPr>
          <w:rFonts w:asciiTheme="majorBidi" w:hAnsiTheme="majorBidi" w:cstheme="majorBidi"/>
          <w:b/>
          <w:bCs/>
          <w:sz w:val="28"/>
          <w:szCs w:val="28"/>
        </w:rPr>
      </w:pPr>
    </w:p>
    <w:p>
      <w:pPr>
        <w:jc w:val="both"/>
        <w:rPr>
          <w:rFonts w:asciiTheme="majorBidi" w:hAnsiTheme="majorBidi" w:cstheme="majorBidi"/>
          <w:b/>
          <w:bCs/>
          <w:sz w:val="28"/>
          <w:szCs w:val="28"/>
        </w:rPr>
      </w:pPr>
    </w:p>
    <w:p>
      <w:pPr>
        <w:jc w:val="center"/>
        <w:rPr>
          <w:rFonts w:asciiTheme="majorBidi" w:hAnsiTheme="majorBidi" w:cstheme="majorBidi"/>
          <w:b/>
          <w:bCs/>
          <w:sz w:val="32"/>
          <w:szCs w:val="32"/>
        </w:rPr>
      </w:pPr>
      <w:r>
        <w:rPr>
          <w:rFonts w:asciiTheme="majorBidi" w:hAnsiTheme="majorBidi" w:cstheme="majorBidi"/>
          <w:b/>
          <w:bCs/>
          <w:sz w:val="32"/>
          <w:szCs w:val="32"/>
        </w:rPr>
        <w:t>CONVENTION MEDICALE</w:t>
      </w:r>
    </w:p>
    <w:p>
      <w:pPr>
        <w:jc w:val="center"/>
        <w:rPr>
          <w:rFonts w:asciiTheme="majorBidi" w:hAnsiTheme="majorBidi" w:cstheme="majorBidi"/>
          <w:sz w:val="28"/>
          <w:szCs w:val="28"/>
        </w:rPr>
      </w:pPr>
      <w:r>
        <w:rPr>
          <w:rFonts w:asciiTheme="majorBidi" w:hAnsiTheme="majorBidi" w:cstheme="majorBidi"/>
          <w:sz w:val="28"/>
          <w:szCs w:val="28"/>
        </w:rPr>
        <w:t>N°6/2023</w:t>
      </w:r>
    </w:p>
    <w:p>
      <w:pPr>
        <w:jc w:val="both"/>
        <w:rPr>
          <w:rFonts w:asciiTheme="majorBidi" w:hAnsiTheme="majorBidi" w:cstheme="majorBidi"/>
          <w:sz w:val="28"/>
          <w:szCs w:val="28"/>
        </w:rPr>
      </w:pPr>
    </w:p>
    <w:p>
      <w:pPr>
        <w:spacing w:line="360" w:lineRule="auto"/>
        <w:jc w:val="center"/>
        <w:rPr>
          <w:rFonts w:asciiTheme="majorBidi" w:hAnsiTheme="majorBidi" w:cstheme="majorBidi"/>
          <w:sz w:val="28"/>
          <w:szCs w:val="28"/>
        </w:rPr>
      </w:pPr>
      <w:r>
        <w:rPr>
          <w:rFonts w:asciiTheme="majorBidi" w:hAnsiTheme="majorBidi" w:cstheme="majorBidi"/>
          <w:sz w:val="28"/>
          <w:szCs w:val="28"/>
        </w:rPr>
        <w:t>ENTRE</w:t>
      </w:r>
    </w:p>
    <w:p>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lang w:bidi="ar-DZ"/>
        </w:rPr>
        <w:t>La COMMISSION DES ŒUVRES SOCIALES DE L’UNIVERSITE DE TLEMCEN,</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b/>
          <w:bCs/>
          <w:sz w:val="28"/>
          <w:szCs w:val="28"/>
          <w:lang w:bidi="ar-DZ"/>
        </w:rPr>
      </w:pPr>
      <w:r>
        <w:rPr>
          <w:rFonts w:ascii="Times New Roman" w:hAnsi="Times New Roman" w:cs="Times New Roman"/>
          <w:sz w:val="28"/>
          <w:szCs w:val="28"/>
        </w:rPr>
        <w:t xml:space="preserve">    Représentée par Mr MERZOUK Abdessamad  Président </w:t>
      </w:r>
    </w:p>
    <w:p>
      <w:pPr>
        <w:spacing w:line="360" w:lineRule="auto"/>
        <w:jc w:val="center"/>
        <w:rPr>
          <w:rFonts w:asciiTheme="majorBidi" w:hAnsiTheme="majorBidi" w:cstheme="majorBidi"/>
          <w:sz w:val="28"/>
          <w:szCs w:val="28"/>
        </w:rPr>
      </w:pPr>
    </w:p>
    <w:p>
      <w:pPr>
        <w:jc w:val="center"/>
        <w:rPr>
          <w:rFonts w:asciiTheme="majorBidi" w:hAnsiTheme="majorBidi" w:cstheme="majorBidi"/>
          <w:sz w:val="28"/>
          <w:szCs w:val="28"/>
        </w:rPr>
      </w:pPr>
      <w:r>
        <w:rPr>
          <w:rFonts w:asciiTheme="majorBidi" w:hAnsiTheme="majorBidi" w:cstheme="majorBidi"/>
          <w:sz w:val="28"/>
          <w:szCs w:val="28"/>
        </w:rPr>
        <w:t>&amp;</w:t>
      </w:r>
    </w:p>
    <w:p>
      <w:pPr>
        <w:rPr>
          <w:rFonts w:ascii="Times New Roman" w:hAnsi="Times New Roman" w:cs="Times New Roman"/>
          <w:b/>
          <w:bCs/>
          <w:sz w:val="32"/>
          <w:szCs w:val="32"/>
        </w:rPr>
      </w:pPr>
      <w:r>
        <w:rPr>
          <w:rFonts w:ascii="Times New Roman" w:hAnsi="Times New Roman" w:cs="Times New Roman"/>
          <w:b/>
          <w:bCs/>
          <w:sz w:val="32"/>
          <w:szCs w:val="32"/>
        </w:rPr>
        <w:t xml:space="preserve">La CLINIQUE MIMOSA, </w:t>
      </w:r>
      <w:r>
        <w:rPr>
          <w:rFonts w:ascii="Times New Roman" w:hAnsi="Times New Roman" w:cs="Times New Roman"/>
          <w:b/>
          <w:color w:val="202124"/>
          <w:sz w:val="24"/>
          <w:szCs w:val="24"/>
          <w:shd w:val="clear" w:color="auto" w:fill="FFFFFF"/>
        </w:rPr>
        <w:t>115 Riath Lahoual Imama, Tlemcen</w:t>
      </w:r>
    </w:p>
    <w:p>
      <w:pPr>
        <w:jc w:val="both"/>
        <w:rPr>
          <w:rFonts w:hint="default" w:ascii="Times New Roman" w:hAnsi="Times New Roman" w:cs="Times New Roman"/>
          <w:sz w:val="28"/>
          <w:szCs w:val="28"/>
          <w:lang w:val="fr-FR"/>
        </w:rPr>
      </w:pPr>
      <w:r>
        <w:rPr>
          <w:rFonts w:ascii="Times New Roman" w:hAnsi="Times New Roman" w:cs="Times New Roman"/>
          <w:sz w:val="28"/>
          <w:szCs w:val="28"/>
        </w:rPr>
        <w:t xml:space="preserve">    Représentée par le Dr Tabet Aouel  le </w:t>
      </w:r>
      <w:r>
        <w:rPr>
          <w:rFonts w:hint="default" w:ascii="Times New Roman" w:hAnsi="Times New Roman" w:cs="Times New Roman"/>
          <w:sz w:val="28"/>
          <w:szCs w:val="28"/>
          <w:lang w:val="fr-FR"/>
        </w:rPr>
        <w:t xml:space="preserve">Gerant </w:t>
      </w:r>
    </w:p>
    <w:p>
      <w:pPr>
        <w:jc w:val="both"/>
        <w:rPr>
          <w:rFonts w:ascii="Times New Roman" w:hAnsi="Times New Roman" w:cs="Times New Roman"/>
          <w:shd w:val="clear" w:color="auto" w:fill="FFFFFF"/>
        </w:rPr>
      </w:pPr>
      <w:r>
        <w:rPr>
          <w:rFonts w:ascii="Times New Roman" w:hAnsi="Times New Roman" w:cs="Times New Roman"/>
          <w:b/>
          <w:bCs/>
        </w:rPr>
        <w:t>NIS :</w:t>
      </w:r>
      <w:r>
        <w:rPr>
          <w:rFonts w:ascii="Times New Roman" w:hAnsi="Times New Roman" w:cs="Times New Roman"/>
          <w:shd w:val="clear" w:color="auto" w:fill="FFFFFF"/>
        </w:rPr>
        <w:t xml:space="preserve"> 001413026471965</w:t>
      </w:r>
    </w:p>
    <w:p>
      <w:pPr>
        <w:jc w:val="both"/>
        <w:rPr>
          <w:rFonts w:ascii="Times New Roman" w:hAnsi="Times New Roman" w:cs="Times New Roman"/>
          <w:b/>
          <w:bCs/>
        </w:rPr>
      </w:pPr>
      <w:r>
        <w:rPr>
          <w:rStyle w:val="7"/>
          <w:rFonts w:ascii="Times New Roman" w:hAnsi="Times New Roman" w:cs="Times New Roman"/>
          <w:b/>
          <w:bCs/>
          <w:bdr w:val="single" w:color="E5E7EB" w:sz="2" w:space="0"/>
          <w:shd w:val="clear" w:color="auto" w:fill="FFFFFF"/>
        </w:rPr>
        <w:t>RC : n°</w:t>
      </w:r>
      <w:r>
        <w:rPr>
          <w:rStyle w:val="8"/>
          <w:rFonts w:ascii="Times New Roman" w:hAnsi="Times New Roman" w:cs="Times New Roman"/>
          <w:bdr w:val="single" w:color="E5E7EB" w:sz="2" w:space="0"/>
          <w:shd w:val="clear" w:color="auto" w:fill="FFFFFF"/>
        </w:rPr>
        <w:t>14B0264719</w:t>
      </w:r>
      <w:r>
        <w:rPr>
          <w:rFonts w:ascii="Arial" w:hAnsi="Arial" w:cs="Arial"/>
          <w:b/>
          <w:bCs/>
          <w:color w:val="374151"/>
          <w:sz w:val="27"/>
          <w:szCs w:val="27"/>
          <w:bdr w:val="single" w:color="E5E7EB" w:sz="2" w:space="0"/>
          <w:shd w:val="clear" w:color="auto" w:fill="FFFFFF"/>
        </w:rPr>
        <w:t xml:space="preserve"> </w:t>
      </w:r>
      <w:r>
        <w:rPr>
          <w:rStyle w:val="7"/>
          <w:rFonts w:ascii="Times New Roman" w:hAnsi="Times New Roman" w:cs="Times New Roman"/>
          <w:b/>
          <w:bCs/>
          <w:bdr w:val="single" w:color="E5E7EB" w:sz="2" w:space="0"/>
          <w:shd w:val="clear" w:color="auto" w:fill="FFFFFF"/>
        </w:rPr>
        <w:t xml:space="preserve">RC : Code : </w:t>
      </w:r>
      <w:r>
        <w:rPr>
          <w:rStyle w:val="8"/>
          <w:rFonts w:ascii="Times New Roman" w:hAnsi="Times New Roman" w:cs="Times New Roman"/>
          <w:bdr w:val="single" w:color="E5E7EB" w:sz="2" w:space="0"/>
          <w:shd w:val="clear" w:color="auto" w:fill="FFFFFF"/>
        </w:rPr>
        <w:t>14B026471900</w:t>
      </w:r>
    </w:p>
    <w:p>
      <w:pPr>
        <w:jc w:val="both"/>
        <w:rPr>
          <w:rFonts w:asciiTheme="majorBidi" w:hAnsiTheme="majorBidi" w:cstheme="majorBidi"/>
          <w:b/>
          <w:bCs/>
          <w:sz w:val="28"/>
          <w:szCs w:val="28"/>
        </w:rPr>
      </w:pPr>
    </w:p>
    <w:p>
      <w:pPr>
        <w:jc w:val="both"/>
        <w:rPr>
          <w:rFonts w:asciiTheme="majorBidi" w:hAnsiTheme="majorBidi" w:cstheme="majorBidi"/>
          <w:b/>
          <w:bCs/>
          <w:sz w:val="28"/>
          <w:szCs w:val="28"/>
        </w:rPr>
      </w:pP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Il a été convenu d’un commun accord après délibération :</w:t>
      </w:r>
    </w:p>
    <w:p>
      <w:pPr>
        <w:spacing w:after="0" w:line="240" w:lineRule="auto"/>
        <w:rPr>
          <w:rFonts w:ascii="Calibri" w:hAnsi="Calibri" w:cs="Calibri"/>
          <w:sz w:val="24"/>
          <w:szCs w:val="24"/>
        </w:rPr>
      </w:pPr>
    </w:p>
    <w:p>
      <w:pPr>
        <w:spacing w:after="0" w:line="240" w:lineRule="auto"/>
        <w:rPr>
          <w:rFonts w:ascii="Calibri" w:hAnsi="Calibri" w:cs="Calibri"/>
          <w:sz w:val="6"/>
          <w:szCs w:val="6"/>
        </w:rPr>
      </w:pP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u w:val="single"/>
        </w:rPr>
        <w:t>Article 1</w:t>
      </w:r>
      <w:r>
        <w:rPr>
          <w:rFonts w:ascii="Times New Roman" w:hAnsi="Times New Roman" w:cs="Times New Roman"/>
          <w:b/>
          <w:bCs/>
          <w:sz w:val="28"/>
          <w:szCs w:val="28"/>
        </w:rPr>
        <w:t> : Objet de la Convention</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La présente Convention a pour objet de définir et de fixer les conditions d’accès aux prestations  dispensés par </w:t>
      </w:r>
      <w:r>
        <w:rPr>
          <w:rFonts w:asciiTheme="majorBidi" w:hAnsiTheme="majorBidi" w:cstheme="majorBidi"/>
          <w:b/>
          <w:bCs/>
          <w:sz w:val="28"/>
          <w:szCs w:val="28"/>
        </w:rPr>
        <w:t xml:space="preserve">La Clinique Mimosa  </w:t>
      </w:r>
      <w:r>
        <w:rPr>
          <w:rFonts w:ascii="Times New Roman" w:hAnsi="Times New Roman" w:cs="Times New Roman"/>
          <w:sz w:val="28"/>
          <w:szCs w:val="28"/>
        </w:rPr>
        <w:t xml:space="preserve"> aux fonctionnaires (Enseignants et ATS) de l’université de Tlemcen (désignés ci-après par l’expression « adhérents ») ainsi qu’à leurs ayants droits (enfants, conjoint) et de préciser les modalités de paiement de la quote-part de la Commission des Œuvres Sociales.</w:t>
      </w: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u w:val="single"/>
        </w:rPr>
        <w:t>Article 2</w:t>
      </w:r>
      <w:r>
        <w:rPr>
          <w:rFonts w:ascii="Times New Roman" w:hAnsi="Times New Roman" w:cs="Times New Roman"/>
          <w:b/>
          <w:bCs/>
          <w:sz w:val="28"/>
          <w:szCs w:val="28"/>
        </w:rPr>
        <w:t> : Textes d’application</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La présente Convention est régie par les textes législatifs et réglementaires en vigueur.</w:t>
      </w: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u w:val="single"/>
        </w:rPr>
        <w:t>Article 3</w:t>
      </w:r>
      <w:r>
        <w:rPr>
          <w:rFonts w:ascii="Times New Roman" w:hAnsi="Times New Roman" w:cs="Times New Roman"/>
          <w:b/>
          <w:bCs/>
          <w:sz w:val="28"/>
          <w:szCs w:val="28"/>
        </w:rPr>
        <w:t> : Documents conventionnels</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La présente Convention dûment signée par les deux parties,</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Copie de l’Agrément du Ministère de la Santé et de la Population,</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Fiche technique </w:t>
      </w:r>
      <w:r>
        <w:rPr>
          <w:rFonts w:asciiTheme="majorBidi" w:hAnsiTheme="majorBidi" w:cstheme="majorBidi"/>
          <w:b/>
          <w:bCs/>
          <w:sz w:val="28"/>
          <w:szCs w:val="28"/>
        </w:rPr>
        <w:t xml:space="preserve">de la clinique mimosa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Copie du registre de commerce,</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Numéro d’identification fiscale.</w:t>
      </w: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u w:val="single"/>
        </w:rPr>
        <w:t>Article 4</w:t>
      </w:r>
      <w:r>
        <w:rPr>
          <w:rFonts w:ascii="Times New Roman" w:hAnsi="Times New Roman" w:cs="Times New Roman"/>
          <w:b/>
          <w:bCs/>
          <w:sz w:val="28"/>
          <w:szCs w:val="28"/>
        </w:rPr>
        <w:t> : Nature des prestations</w:t>
      </w:r>
    </w:p>
    <w:p>
      <w:pPr>
        <w:pStyle w:val="6"/>
        <w:numPr>
          <w:ilvl w:val="0"/>
          <w:numId w:val="1"/>
        </w:num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Imageries, </w:t>
      </w:r>
    </w:p>
    <w:p>
      <w:pPr>
        <w:pStyle w:val="6"/>
        <w:numPr>
          <w:ilvl w:val="0"/>
          <w:numId w:val="1"/>
        </w:numPr>
        <w:spacing w:after="120" w:line="360" w:lineRule="auto"/>
        <w:jc w:val="both"/>
        <w:rPr>
          <w:rFonts w:ascii="Times New Roman" w:hAnsi="Times New Roman" w:cs="Times New Roman"/>
          <w:sz w:val="28"/>
          <w:szCs w:val="28"/>
        </w:rPr>
      </w:pPr>
      <w:r>
        <w:rPr>
          <w:rFonts w:ascii="Times New Roman" w:hAnsi="Times New Roman" w:cs="Times New Roman"/>
          <w:sz w:val="28"/>
          <w:szCs w:val="28"/>
        </w:rPr>
        <w:t>Radio et lasers</w:t>
      </w:r>
    </w:p>
    <w:p>
      <w:pPr>
        <w:pStyle w:val="6"/>
        <w:numPr>
          <w:ilvl w:val="0"/>
          <w:numId w:val="1"/>
        </w:num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Consultations médicales </w:t>
      </w:r>
    </w:p>
    <w:p>
      <w:pPr>
        <w:pStyle w:val="6"/>
        <w:numPr>
          <w:ilvl w:val="0"/>
          <w:numId w:val="1"/>
        </w:num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Interventions chirurgicales </w:t>
      </w:r>
    </w:p>
    <w:p>
      <w:pPr>
        <w:pStyle w:val="6"/>
        <w:numPr>
          <w:ilvl w:val="0"/>
          <w:numId w:val="1"/>
        </w:numPr>
        <w:spacing w:after="120" w:line="360" w:lineRule="auto"/>
        <w:jc w:val="both"/>
        <w:rPr>
          <w:rFonts w:ascii="Times New Roman" w:hAnsi="Times New Roman" w:cs="Times New Roman"/>
          <w:sz w:val="28"/>
          <w:szCs w:val="28"/>
        </w:rPr>
      </w:pPr>
      <w:r>
        <w:rPr>
          <w:rFonts w:asciiTheme="majorBidi" w:hAnsiTheme="majorBidi" w:cstheme="majorBidi"/>
          <w:bCs/>
          <w:sz w:val="28"/>
          <w:szCs w:val="28"/>
        </w:rPr>
        <w:t xml:space="preserve">Soins médicaux </w:t>
      </w: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u w:val="single"/>
        </w:rPr>
        <w:t>Article 5</w:t>
      </w:r>
      <w:r>
        <w:rPr>
          <w:rFonts w:ascii="Times New Roman" w:hAnsi="Times New Roman" w:cs="Times New Roman"/>
          <w:b/>
          <w:bCs/>
          <w:sz w:val="28"/>
          <w:szCs w:val="28"/>
        </w:rPr>
        <w:t> : Tarification des examens</w:t>
      </w:r>
    </w:p>
    <w:p>
      <w:pPr>
        <w:pStyle w:val="6"/>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La COSUT couvrira  quarante pour cent 40% du montant global des prestations, le patients paiera les soixante pour cent 60% restants à la diligence de la clinique </w:t>
      </w:r>
    </w:p>
    <w:p>
      <w:pPr>
        <w:pStyle w:val="6"/>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La couverture de la COSUT est de </w:t>
      </w:r>
      <w:r>
        <w:rPr>
          <w:rFonts w:ascii="Times New Roman" w:hAnsi="Times New Roman" w:cs="Times New Roman"/>
          <w:b/>
          <w:sz w:val="28"/>
          <w:szCs w:val="28"/>
        </w:rPr>
        <w:t>75.000.00 DA</w:t>
      </w:r>
      <w:r>
        <w:rPr>
          <w:rFonts w:ascii="Times New Roman" w:hAnsi="Times New Roman" w:cs="Times New Roman"/>
          <w:sz w:val="28"/>
          <w:szCs w:val="28"/>
        </w:rPr>
        <w:t xml:space="preserve"> maximum (soixante - quinze  mille dinar) annuellement.</w:t>
      </w: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u w:val="single"/>
        </w:rPr>
        <w:t>Article 6</w:t>
      </w:r>
      <w:r>
        <w:rPr>
          <w:rFonts w:ascii="Times New Roman" w:hAnsi="Times New Roman" w:cs="Times New Roman"/>
          <w:b/>
          <w:bCs/>
          <w:sz w:val="28"/>
          <w:szCs w:val="28"/>
        </w:rPr>
        <w:t> : Conditions d’accès</w:t>
      </w:r>
    </w:p>
    <w:p>
      <w:pPr>
        <w:pStyle w:val="6"/>
        <w:spacing w:after="0" w:line="360" w:lineRule="auto"/>
        <w:ind w:left="142" w:firstLine="566"/>
        <w:jc w:val="both"/>
        <w:rPr>
          <w:rFonts w:ascii="Times New Roman" w:hAnsi="Times New Roman" w:cs="Times New Roman"/>
          <w:bCs/>
          <w:sz w:val="28"/>
          <w:szCs w:val="28"/>
        </w:rPr>
      </w:pPr>
      <w:r>
        <w:rPr>
          <w:rFonts w:ascii="Times New Roman" w:hAnsi="Times New Roman" w:cs="Times New Roman"/>
          <w:bCs/>
          <w:sz w:val="28"/>
          <w:szCs w:val="28"/>
        </w:rPr>
        <w:t>Pour accéder au centre de rééducation, le patient pour avoir une orientation de son médecin traitant comme il pourra se présenter directement au centre pour consultation. Dans les deux cas, le patient aura un diagnostic  et un programme de soins (nombre et type de séances) qui sera transmis au président de la COSUT.</w:t>
      </w:r>
    </w:p>
    <w:p>
      <w:pPr>
        <w:pStyle w:val="6"/>
        <w:spacing w:after="0" w:line="360" w:lineRule="auto"/>
        <w:ind w:left="142" w:firstLine="566"/>
        <w:jc w:val="both"/>
        <w:rPr>
          <w:rFonts w:ascii="Times New Roman" w:hAnsi="Times New Roman" w:cs="Times New Roman"/>
          <w:bCs/>
          <w:sz w:val="28"/>
          <w:szCs w:val="28"/>
        </w:rPr>
      </w:pPr>
      <w:r>
        <w:rPr>
          <w:rFonts w:ascii="Times New Roman" w:hAnsi="Times New Roman" w:cs="Times New Roman"/>
          <w:bCs/>
          <w:sz w:val="28"/>
          <w:szCs w:val="28"/>
        </w:rPr>
        <w:t xml:space="preserve">Le président validera l’accès au traitement sur un document spécial sur lequel il est mentionné le montant pris en charge par la COSUT qui est de </w:t>
      </w:r>
      <w:r>
        <w:rPr>
          <w:rFonts w:ascii="Times New Roman" w:hAnsi="Times New Roman" w:cs="Times New Roman"/>
          <w:b/>
          <w:bCs/>
          <w:sz w:val="28"/>
          <w:szCs w:val="28"/>
        </w:rPr>
        <w:t>40%</w:t>
      </w:r>
      <w:r>
        <w:rPr>
          <w:rFonts w:ascii="Times New Roman" w:hAnsi="Times New Roman" w:cs="Times New Roman"/>
          <w:bCs/>
          <w:sz w:val="28"/>
          <w:szCs w:val="28"/>
        </w:rPr>
        <w:t xml:space="preserve"> de la facture à la limite de </w:t>
      </w:r>
      <w:r>
        <w:rPr>
          <w:rFonts w:ascii="Times New Roman" w:hAnsi="Times New Roman" w:cs="Times New Roman"/>
          <w:b/>
          <w:bCs/>
          <w:sz w:val="28"/>
          <w:szCs w:val="28"/>
        </w:rPr>
        <w:t>75.000.00 DA</w:t>
      </w:r>
      <w:r>
        <w:rPr>
          <w:rFonts w:ascii="Times New Roman" w:hAnsi="Times New Roman" w:cs="Times New Roman"/>
          <w:bCs/>
          <w:sz w:val="28"/>
          <w:szCs w:val="28"/>
        </w:rPr>
        <w:t xml:space="preserve">.  </w:t>
      </w: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u w:val="single"/>
        </w:rPr>
        <w:t>Article 7</w:t>
      </w:r>
      <w:r>
        <w:rPr>
          <w:rFonts w:ascii="Times New Roman" w:hAnsi="Times New Roman" w:cs="Times New Roman"/>
          <w:b/>
          <w:bCs/>
          <w:sz w:val="28"/>
          <w:szCs w:val="28"/>
        </w:rPr>
        <w:t> : Modalités de paiement des factures</w:t>
      </w:r>
    </w:p>
    <w:p>
      <w:pPr>
        <w:autoSpaceDE w:val="0"/>
        <w:autoSpaceDN w:val="0"/>
        <w:adjustRightInd w:val="0"/>
        <w:spacing w:after="0" w:line="360" w:lineRule="auto"/>
        <w:jc w:val="both"/>
        <w:rPr>
          <w:rStyle w:val="3"/>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 Le dépôt des factures par la clinique  s’effectuera à la fin de chaque trimestre  auprès du Bureau des Œuvres Sociales de l’Université de Tlemcen au niveau du </w:t>
      </w:r>
      <w:r>
        <w:rPr>
          <w:rStyle w:val="3"/>
          <w:rFonts w:ascii="Times New Roman" w:hAnsi="Times New Roman" w:cs="Times New Roman"/>
          <w:color w:val="333333"/>
          <w:sz w:val="28"/>
          <w:szCs w:val="28"/>
          <w:shd w:val="clear" w:color="auto" w:fill="FFFFFF"/>
        </w:rPr>
        <w:t>Siege : pôle Imama bloc abritant l'U.F.C - entée du pôle de bouhanak à gauche, RDC</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Les factures sont établies en double exemplaires accompagnées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Une liste nominative des patients précisant la nature et la date des prestations</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2-Des coupons des prises en charges des patients délivrées par la COSUT (partie clinique). </w:t>
      </w:r>
    </w:p>
    <w:p>
      <w:pPr>
        <w:pStyle w:val="6"/>
        <w:numPr>
          <w:ilvl w:val="0"/>
          <w:numId w:val="1"/>
        </w:num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Le paiement des factures, par la COSUT, sera effectué par virement bancaire, dans un délai maximum de trente (30) jours à compter de la date de leur réception, sur le compte de la clinique sous le ……Tlemcen. </w:t>
      </w:r>
    </w:p>
    <w:p>
      <w:pPr>
        <w:spacing w:after="120"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u w:val="single"/>
        </w:rPr>
        <w:t>Article 8</w:t>
      </w:r>
      <w:r>
        <w:rPr>
          <w:rFonts w:ascii="Times New Roman" w:hAnsi="Times New Roman" w:cs="Times New Roman"/>
          <w:b/>
          <w:bCs/>
          <w:sz w:val="28"/>
          <w:szCs w:val="28"/>
        </w:rPr>
        <w:t> : Résiliation</w:t>
      </w:r>
    </w:p>
    <w:p>
      <w:pPr>
        <w:spacing w:after="120" w:line="360" w:lineRule="auto"/>
        <w:ind w:firstLine="708"/>
        <w:jc w:val="both"/>
        <w:rPr>
          <w:rFonts w:ascii="Times New Roman" w:hAnsi="Times New Roman" w:cs="Times New Roman"/>
          <w:sz w:val="28"/>
          <w:szCs w:val="28"/>
        </w:rPr>
      </w:pPr>
      <w:r>
        <w:rPr>
          <w:rFonts w:ascii="Times New Roman" w:hAnsi="Times New Roman" w:cs="Times New Roman"/>
          <w:sz w:val="28"/>
          <w:szCs w:val="28"/>
        </w:rPr>
        <w:t>La COSUT se réserve le droit de résilier cette Convention avec préavis d’un mois notifié par lettre recommandée avec accusé de réception.</w:t>
      </w:r>
    </w:p>
    <w:p>
      <w:pPr>
        <w:spacing w:after="0" w:line="360" w:lineRule="auto"/>
        <w:jc w:val="both"/>
        <w:rPr>
          <w:rFonts w:ascii="Times New Roman" w:hAnsi="Times New Roman" w:cs="Times New Roman"/>
          <w:b/>
          <w:bCs/>
          <w:sz w:val="28"/>
          <w:szCs w:val="28"/>
          <w:u w:val="single"/>
        </w:rPr>
      </w:pPr>
    </w:p>
    <w:p>
      <w:pPr>
        <w:spacing w:after="0" w:line="360" w:lineRule="auto"/>
        <w:jc w:val="both"/>
        <w:rPr>
          <w:rFonts w:ascii="Times New Roman" w:hAnsi="Times New Roman" w:cs="Times New Roman"/>
          <w:b/>
          <w:bCs/>
          <w:sz w:val="28"/>
          <w:szCs w:val="28"/>
          <w:u w:val="single"/>
        </w:rPr>
      </w:pP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u w:val="single"/>
        </w:rPr>
        <w:t>Article 9</w:t>
      </w:r>
      <w:r>
        <w:rPr>
          <w:rFonts w:ascii="Times New Roman" w:hAnsi="Times New Roman" w:cs="Times New Roman"/>
          <w:b/>
          <w:bCs/>
          <w:sz w:val="28"/>
          <w:szCs w:val="28"/>
        </w:rPr>
        <w:t> : Annexes</w:t>
      </w:r>
    </w:p>
    <w:p>
      <w:pPr>
        <w:pStyle w:val="6"/>
        <w:numPr>
          <w:ilvl w:val="0"/>
          <w:numId w:val="2"/>
        </w:numPr>
        <w:spacing w:after="120" w:line="360" w:lineRule="auto"/>
        <w:jc w:val="both"/>
        <w:rPr>
          <w:rFonts w:ascii="Times New Roman" w:hAnsi="Times New Roman" w:cs="Times New Roman"/>
          <w:sz w:val="28"/>
          <w:szCs w:val="28"/>
        </w:rPr>
      </w:pPr>
      <w:r>
        <w:rPr>
          <w:rFonts w:ascii="Times New Roman" w:hAnsi="Times New Roman" w:cs="Times New Roman"/>
          <w:sz w:val="28"/>
          <w:szCs w:val="28"/>
        </w:rPr>
        <w:t>Liste des examens réalisables et Barèmes des tarifs en TTC.</w:t>
      </w:r>
    </w:p>
    <w:p>
      <w:pPr>
        <w:pStyle w:val="6"/>
        <w:numPr>
          <w:ilvl w:val="0"/>
          <w:numId w:val="2"/>
        </w:numPr>
        <w:spacing w:after="120" w:line="360" w:lineRule="auto"/>
        <w:jc w:val="both"/>
        <w:rPr>
          <w:rFonts w:ascii="Times New Roman" w:hAnsi="Times New Roman" w:cs="Times New Roman"/>
          <w:sz w:val="28"/>
          <w:szCs w:val="28"/>
        </w:rPr>
      </w:pPr>
      <w:r>
        <w:rPr>
          <w:rFonts w:ascii="Times New Roman" w:hAnsi="Times New Roman" w:cs="Times New Roman"/>
          <w:sz w:val="28"/>
          <w:szCs w:val="28"/>
        </w:rPr>
        <w:t>Spécimen de la fiche navette avec signature et cachet du  président de la COSUT.</w:t>
      </w:r>
    </w:p>
    <w:p>
      <w:pPr>
        <w:pStyle w:val="6"/>
        <w:numPr>
          <w:ilvl w:val="0"/>
          <w:numId w:val="2"/>
        </w:num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Modèle de facture </w:t>
      </w: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u w:val="single"/>
        </w:rPr>
        <w:t>Article 10</w:t>
      </w:r>
      <w:r>
        <w:rPr>
          <w:rFonts w:ascii="Times New Roman" w:hAnsi="Times New Roman" w:cs="Times New Roman"/>
          <w:b/>
          <w:bCs/>
          <w:sz w:val="28"/>
          <w:szCs w:val="28"/>
        </w:rPr>
        <w:t xml:space="preserve"> : Contrôle </w:t>
      </w:r>
    </w:p>
    <w:p>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La COSUT peut mandater toute personne qu’elle jugerait utile à l’effet de procéder à la vérification des conditions réelles de l’application des clauses de la présente convention </w:t>
      </w: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u w:val="single"/>
        </w:rPr>
        <w:t>Article 11</w:t>
      </w:r>
      <w:r>
        <w:rPr>
          <w:rFonts w:ascii="Times New Roman" w:hAnsi="Times New Roman" w:cs="Times New Roman"/>
          <w:b/>
          <w:bCs/>
          <w:sz w:val="28"/>
          <w:szCs w:val="28"/>
        </w:rPr>
        <w:t> : Mise en vigueur et durée de la Convention</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La présente Convention entrera en vigueur dès sa signature par les deux parties et prend fin </w:t>
      </w:r>
      <w:r>
        <w:rPr>
          <w:rFonts w:ascii="Times New Roman" w:hAnsi="Times New Roman" w:cs="Times New Roman"/>
          <w:bCs/>
          <w:sz w:val="28"/>
          <w:szCs w:val="28"/>
        </w:rPr>
        <w:t>le 31/12/2024</w:t>
      </w:r>
      <w:r>
        <w:rPr>
          <w:rFonts w:ascii="Times New Roman" w:hAnsi="Times New Roman" w:cs="Times New Roman"/>
          <w:sz w:val="28"/>
          <w:szCs w:val="28"/>
        </w:rPr>
        <w:t xml:space="preserve"> </w:t>
      </w:r>
    </w:p>
    <w:p>
      <w:pPr>
        <w:spacing w:after="0" w:line="360" w:lineRule="auto"/>
        <w:jc w:val="both"/>
        <w:rPr>
          <w:rFonts w:ascii="Times New Roman" w:hAnsi="Times New Roman" w:cs="Times New Roman"/>
          <w:b/>
          <w:bCs/>
          <w:sz w:val="28"/>
          <w:szCs w:val="28"/>
        </w:rPr>
      </w:pP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Date et lieu de signature</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La présente Convention est signée à Tlemcen le   01Février 2024</w:t>
      </w:r>
    </w:p>
    <w:p>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pPr>
        <w:rPr>
          <w:rFonts w:ascii="Times New Roman" w:hAnsi="Times New Roman" w:cs="Times New Roman"/>
          <w:b/>
          <w:bCs/>
          <w:sz w:val="20"/>
          <w:szCs w:val="20"/>
        </w:rPr>
      </w:pPr>
      <w:r>
        <w:rPr>
          <w:rFonts w:ascii="Times New Roman" w:hAnsi="Times New Roman" w:cs="Times New Roman"/>
          <w:b/>
          <w:bCs/>
          <w:sz w:val="20"/>
          <w:szCs w:val="20"/>
        </w:rPr>
        <w:t xml:space="preserve">Le Président de la Commission des Œuvres Sociales                                     Le Gérant de la clinique </w:t>
      </w:r>
    </w:p>
    <w:p>
      <w:pPr>
        <w:rPr>
          <w:rFonts w:ascii="Times New Roman" w:hAnsi="Times New Roman" w:cs="Times New Roman"/>
          <w:b/>
          <w:bCs/>
          <w:sz w:val="20"/>
          <w:szCs w:val="20"/>
        </w:rPr>
      </w:pPr>
    </w:p>
    <w:p>
      <w:pPr>
        <w:rPr>
          <w:rFonts w:ascii="Times New Roman" w:hAnsi="Times New Roman" w:cs="Times New Roman"/>
          <w:b/>
          <w:bCs/>
          <w:sz w:val="20"/>
          <w:szCs w:val="20"/>
        </w:rPr>
      </w:pPr>
      <w:r>
        <w:rPr>
          <w:lang w:eastAsia="fr-FR"/>
        </w:rPr>
        <w:drawing>
          <wp:inline distT="0" distB="0" distL="0" distR="0">
            <wp:extent cx="1647825" cy="2769235"/>
            <wp:effectExtent l="0" t="0" r="1206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rot="16200000">
                      <a:off x="0" y="0"/>
                      <a:ext cx="1675784" cy="2816385"/>
                    </a:xfrm>
                    <a:prstGeom prst="rect">
                      <a:avLst/>
                    </a:prstGeom>
                    <a:noFill/>
                    <a:ln>
                      <a:noFill/>
                    </a:ln>
                  </pic:spPr>
                </pic:pic>
              </a:graphicData>
            </a:graphic>
          </wp:inline>
        </w:drawing>
      </w:r>
      <w:bookmarkStart w:id="0" w:name="_GoBack"/>
      <w:bookmarkEnd w:id="0"/>
    </w:p>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Garamond">
    <w:panose1 w:val="02020404030301010803"/>
    <w:charset w:val="00"/>
    <w:family w:val="roman"/>
    <w:pitch w:val="default"/>
    <w:sig w:usb0="00000287" w:usb1="00000000" w:usb2="00000000" w:usb3="00000000" w:csb0="0000009F" w:csb1="DFD70000"/>
  </w:font>
  <w:font w:name="Arial Narrow">
    <w:panose1 w:val="020B0606020202030204"/>
    <w:charset w:val="00"/>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4" w:lineRule="auto"/>
      </w:pPr>
      <w:r>
        <w:separator/>
      </w:r>
    </w:p>
  </w:footnote>
  <w:footnote w:type="continuationSeparator" w:id="1">
    <w:p>
      <w:pPr>
        <w:spacing w:before="0" w:after="0" w:line="25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36D44"/>
    <w:multiLevelType w:val="multilevel"/>
    <w:tmpl w:val="1DC36D44"/>
    <w:lvl w:ilvl="0" w:tentative="0">
      <w:start w:val="5"/>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F973B73"/>
    <w:multiLevelType w:val="multilevel"/>
    <w:tmpl w:val="6F973B73"/>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751"/>
    <w:rsid w:val="004651FA"/>
    <w:rsid w:val="00E10751"/>
    <w:rsid w:val="1CC3735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160" w:line="254"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3">
    <w:name w:val="Strong"/>
    <w:qFormat/>
    <w:uiPriority w:val="22"/>
    <w:rPr>
      <w:b/>
      <w:bCs/>
    </w:rPr>
  </w:style>
  <w:style w:type="paragraph" w:styleId="4">
    <w:name w:val="Balloon Text"/>
    <w:basedOn w:val="1"/>
    <w:link w:val="9"/>
    <w:semiHidden/>
    <w:unhideWhenUsed/>
    <w:uiPriority w:val="99"/>
    <w:pPr>
      <w:spacing w:after="0" w:line="240" w:lineRule="auto"/>
    </w:pPr>
    <w:rPr>
      <w:rFonts w:ascii="Tahoma" w:hAnsi="Tahoma" w:cs="Tahoma"/>
      <w:sz w:val="16"/>
      <w:szCs w:val="16"/>
    </w:rPr>
  </w:style>
  <w:style w:type="paragraph" w:styleId="6">
    <w:name w:val="List Paragraph"/>
    <w:basedOn w:val="1"/>
    <w:qFormat/>
    <w:uiPriority w:val="34"/>
    <w:pPr>
      <w:spacing w:after="200" w:line="276" w:lineRule="auto"/>
      <w:ind w:left="720"/>
      <w:contextualSpacing/>
    </w:pPr>
  </w:style>
  <w:style w:type="character" w:customStyle="1" w:styleId="7">
    <w:name w:val="font-bold"/>
    <w:basedOn w:val="2"/>
    <w:uiPriority w:val="0"/>
  </w:style>
  <w:style w:type="character" w:customStyle="1" w:styleId="8">
    <w:name w:val="font-normal"/>
    <w:basedOn w:val="2"/>
    <w:uiPriority w:val="0"/>
  </w:style>
  <w:style w:type="character" w:customStyle="1" w:styleId="9">
    <w:name w:val="Texte de bulles C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640</Words>
  <Characters>3525</Characters>
  <Lines>29</Lines>
  <Paragraphs>8</Paragraphs>
  <TotalTime>2</TotalTime>
  <ScaleCrop>false</ScaleCrop>
  <LinksUpToDate>false</LinksUpToDate>
  <CharactersWithSpaces>4157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2024-02-06T13:17:00Z</dcterms:created>
  <dc:creator>Merzouk</dc:creator>
  <cp:lastModifiedBy>Merzouk</cp:lastModifiedBy>
  <dcterms:modified xsi:type="dcterms:W3CDTF">2024-02-07T21:13:02Z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DDAAA5F342D84D1EAF0510421CCD675F_12</vt:lpwstr>
  </property>
</Properties>
</file>