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Cambria" w:hAnsi="Cambria" w:eastAsia="Batang" w:cs="Andalus"/>
          <w:b/>
          <w:bCs/>
          <w:sz w:val="32"/>
          <w:szCs w:val="32"/>
          <w:rtl/>
          <w:cs/>
          <w:lang w:eastAsia="ar-DZ" w:bidi="ar-DZ"/>
        </w:rPr>
      </w:pPr>
      <w:r>
        <w:rPr>
          <w:rFonts w:ascii="Times New Roman" w:hAnsi="Times New Roman" w:cs="Times New Roman"/>
          <w:sz w:val="24"/>
          <w:szCs w:val="24"/>
          <w:lang w:eastAsia="fr-FR"/>
        </w:rPr>
        <w:drawing>
          <wp:inline distT="0" distB="0" distL="0" distR="0">
            <wp:extent cx="1375410" cy="1064895"/>
            <wp:effectExtent l="0" t="0" r="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76231" cy="1065569"/>
                    </a:xfrm>
                    <a:prstGeom prst="rect">
                      <a:avLst/>
                    </a:prstGeom>
                    <a:noFill/>
                    <a:ln>
                      <a:noFill/>
                    </a:ln>
                  </pic:spPr>
                </pic:pic>
              </a:graphicData>
            </a:graphic>
          </wp:inline>
        </w:drawing>
      </w:r>
      <w:r>
        <w:rPr>
          <w:rFonts w:ascii="Cambria" w:hAnsi="Cambria" w:eastAsia="Batang" w:cs="Andalus"/>
          <w:b/>
          <w:bCs/>
          <w:sz w:val="32"/>
          <w:szCs w:val="32"/>
          <w:rtl/>
          <w:lang w:eastAsia="ar-DZ" w:bidi="ar-DZ"/>
        </w:rPr>
        <w:t xml:space="preserve">                                        </w:t>
      </w:r>
      <w:r>
        <w:rPr>
          <w:lang w:eastAsia="fr-FR"/>
        </w:rPr>
        <w:drawing>
          <wp:inline distT="0" distB="0" distL="0" distR="0">
            <wp:extent cx="2102485" cy="1057275"/>
            <wp:effectExtent l="0" t="0" r="0" b="9525"/>
            <wp:docPr id="1" name="Image 1" descr="https://www.univ-tlemcen.dz/assets/img/logo-en.png"/>
            <wp:cNvGraphicFramePr/>
            <a:graphic xmlns:a="http://schemas.openxmlformats.org/drawingml/2006/main">
              <a:graphicData uri="http://schemas.openxmlformats.org/drawingml/2006/picture">
                <pic:pic xmlns:pic="http://schemas.openxmlformats.org/drawingml/2006/picture">
                  <pic:nvPicPr>
                    <pic:cNvPr id="1" name="Image 1" descr="https://www.univ-tlemcen.dz/assets/img/logo-en.png"/>
                    <pic:cNvPicPr/>
                  </pic:nvPicPr>
                  <pic:blipFill>
                    <a:blip r:embed="rId7">
                      <a:extLst>
                        <a:ext uri="{28A0092B-C50C-407E-A947-70E740481C1C}">
                          <a14:useLocalDpi xmlns:a14="http://schemas.microsoft.com/office/drawing/2010/main" val="0"/>
                        </a:ext>
                      </a:extLst>
                    </a:blip>
                    <a:srcRect/>
                    <a:stretch>
                      <a:fillRect/>
                    </a:stretch>
                  </pic:blipFill>
                  <pic:spPr>
                    <a:xfrm>
                      <a:off x="0" y="0"/>
                      <a:ext cx="2102485" cy="1057275"/>
                    </a:xfrm>
                    <a:prstGeom prst="rect">
                      <a:avLst/>
                    </a:prstGeom>
                    <a:noFill/>
                    <a:ln>
                      <a:noFill/>
                    </a:ln>
                  </pic:spPr>
                </pic:pic>
              </a:graphicData>
            </a:graphic>
          </wp:inline>
        </w:drawing>
      </w:r>
      <w:r>
        <w:rPr>
          <w:rFonts w:ascii="Cambria" w:hAnsi="Cambria" w:eastAsia="Batang" w:cs="Andalus"/>
          <w:b/>
          <w:bCs/>
          <w:sz w:val="32"/>
          <w:szCs w:val="32"/>
          <w:rtl/>
          <w:lang w:eastAsia="ar-DZ" w:bidi="ar-DZ"/>
        </w:rPr>
        <w:t xml:space="preserve"> الجمهــورية الجــزائرية الديمقـراطية الشــــعبية</w:t>
      </w:r>
      <w:r>
        <w:rPr>
          <w:rFonts w:ascii="Cambria" w:hAnsi="Cambria" w:eastAsia="Batang" w:cs="Andalus"/>
          <w:b/>
          <w:bCs/>
          <w:sz w:val="32"/>
          <w:szCs w:val="32"/>
          <w:rtl/>
          <w:cs/>
          <w:lang w:eastAsia="ar-DZ" w:bidi="ar-DZ"/>
        </w:rPr>
        <w:t xml:space="preserve">    </w:t>
      </w:r>
    </w:p>
    <w:p>
      <w:pPr>
        <w:spacing w:after="0" w:line="240" w:lineRule="auto"/>
        <w:ind w:left="708"/>
        <w:jc w:val="center"/>
        <w:rPr>
          <w:rFonts w:ascii="Cambria" w:hAnsi="Cambria" w:eastAsia="Batang" w:cs="Andalus"/>
          <w:b/>
          <w:bCs/>
          <w:sz w:val="32"/>
          <w:szCs w:val="32"/>
          <w:rtl/>
          <w:lang w:eastAsia="ar-DZ" w:bidi="ar-DZ"/>
        </w:rPr>
      </w:pPr>
      <w:r>
        <w:rPr>
          <w:rFonts w:ascii="Cambria" w:hAnsi="Cambria" w:eastAsia="Batang" w:cs="Andalus"/>
          <w:b/>
          <w:bCs/>
          <w:sz w:val="32"/>
          <w:szCs w:val="32"/>
          <w:rtl/>
          <w:lang w:eastAsia="ar-DZ" w:bidi="ar-DZ"/>
        </w:rPr>
        <w:t>وزارة التعلـي</w:t>
      </w:r>
      <w:r>
        <w:rPr>
          <w:rFonts w:hint="cs" w:ascii="Cambria" w:hAnsi="Cambria" w:eastAsia="Batang" w:cs="Andalus"/>
          <w:b/>
          <w:bCs/>
          <w:sz w:val="32"/>
          <w:szCs w:val="32"/>
          <w:rtl/>
          <w:lang w:eastAsia="ar-DZ" w:bidi="ar-DZ"/>
        </w:rPr>
        <w:t>ـ</w:t>
      </w:r>
      <w:r>
        <w:rPr>
          <w:rFonts w:ascii="Cambria" w:hAnsi="Cambria" w:eastAsia="Batang" w:cs="Andalus"/>
          <w:b/>
          <w:bCs/>
          <w:sz w:val="32"/>
          <w:szCs w:val="32"/>
          <w:rtl/>
          <w:lang w:eastAsia="ar-DZ" w:bidi="ar-DZ"/>
        </w:rPr>
        <w:t>م العــــالي و الب</w:t>
      </w:r>
      <w:r>
        <w:rPr>
          <w:rFonts w:hint="cs" w:ascii="Cambria" w:hAnsi="Cambria" w:eastAsia="Batang" w:cs="Andalus"/>
          <w:b/>
          <w:bCs/>
          <w:sz w:val="32"/>
          <w:szCs w:val="32"/>
          <w:rtl/>
          <w:lang w:eastAsia="ar-DZ" w:bidi="ar-DZ"/>
        </w:rPr>
        <w:t>ــ</w:t>
      </w:r>
      <w:r>
        <w:rPr>
          <w:rFonts w:ascii="Cambria" w:hAnsi="Cambria" w:eastAsia="Batang" w:cs="Andalus"/>
          <w:b/>
          <w:bCs/>
          <w:sz w:val="32"/>
          <w:szCs w:val="32"/>
          <w:rtl/>
          <w:lang w:eastAsia="ar-DZ" w:bidi="ar-DZ"/>
        </w:rPr>
        <w:t>حـث العـل</w:t>
      </w:r>
      <w:r>
        <w:rPr>
          <w:rFonts w:hint="cs" w:ascii="Cambria" w:hAnsi="Cambria" w:eastAsia="Batang" w:cs="Andalus"/>
          <w:b/>
          <w:bCs/>
          <w:sz w:val="32"/>
          <w:szCs w:val="32"/>
          <w:rtl/>
          <w:lang w:eastAsia="ar-DZ" w:bidi="ar-DZ"/>
        </w:rPr>
        <w:t>ـــ</w:t>
      </w:r>
      <w:r>
        <w:rPr>
          <w:rFonts w:ascii="Cambria" w:hAnsi="Cambria" w:eastAsia="Batang" w:cs="Andalus"/>
          <w:b/>
          <w:bCs/>
          <w:sz w:val="32"/>
          <w:szCs w:val="32"/>
          <w:rtl/>
          <w:lang w:eastAsia="ar-DZ" w:bidi="ar-DZ"/>
        </w:rPr>
        <w:t>مي</w:t>
      </w:r>
    </w:p>
    <w:p>
      <w:pPr>
        <w:bidi/>
        <w:snapToGrid w:val="0"/>
        <w:spacing w:after="0" w:line="240" w:lineRule="auto"/>
        <w:jc w:val="both"/>
        <w:rPr>
          <w:rFonts w:ascii="Times New Roman" w:hAnsi="Times New Roman" w:eastAsia="Batang" w:cs="Times New Roman"/>
          <w:b/>
          <w:bCs/>
          <w:sz w:val="36"/>
          <w:szCs w:val="36"/>
          <w:rtl/>
          <w:lang w:eastAsia="ar-DZ" w:bidi="ar-DZ"/>
        </w:rPr>
      </w:pPr>
      <w:r>
        <w:rPr>
          <w:rFonts w:ascii="Times New Roman" w:hAnsi="Times New Roman" w:eastAsia="Batang" w:cs="Times New Roman"/>
          <w:b/>
          <w:bCs/>
          <w:sz w:val="36"/>
          <w:szCs w:val="36"/>
          <w:rtl/>
        </w:rPr>
        <w:t>جــامعة أبو بكــر بلـقـا يد</w:t>
      </w:r>
      <w:r>
        <w:rPr>
          <w:rFonts w:ascii="Times New Roman" w:hAnsi="Times New Roman" w:eastAsia="Batang" w:cs="Times New Roman"/>
          <w:b/>
          <w:bCs/>
          <w:sz w:val="36"/>
          <w:szCs w:val="36"/>
          <w:rtl/>
          <w:lang w:eastAsia="ar-DZ" w:bidi="ar-DZ"/>
        </w:rPr>
        <w:t>– تلمســان</w:t>
      </w:r>
    </w:p>
    <w:p/>
    <w:p/>
    <w:p>
      <w:pPr>
        <w:jc w:val="center"/>
        <w:rPr>
          <w:rFonts w:ascii="Gill Sans MT" w:hAnsi="Gill Sans MT"/>
          <w:sz w:val="40"/>
          <w:szCs w:val="40"/>
        </w:rPr>
      </w:pPr>
      <w:r>
        <w:rPr>
          <w:rFonts w:ascii="Gill Sans MT" w:hAnsi="Gill Sans MT"/>
          <w:sz w:val="40"/>
          <w:szCs w:val="40"/>
        </w:rPr>
        <w:t xml:space="preserve">REGLEMENT INTERIEUR DE LA COMMISSION DES ŒUVRES SOCIALES </w:t>
      </w:r>
    </w:p>
    <w:p>
      <w:pPr>
        <w:jc w:val="center"/>
        <w:rPr>
          <w:rFonts w:ascii="Gill Sans MT" w:hAnsi="Gill Sans MT"/>
          <w:sz w:val="40"/>
          <w:szCs w:val="40"/>
        </w:rPr>
      </w:pPr>
      <w:r>
        <w:rPr>
          <w:rFonts w:ascii="Gill Sans MT" w:hAnsi="Gill Sans MT"/>
          <w:sz w:val="40"/>
          <w:szCs w:val="40"/>
        </w:rPr>
        <w:t>UNIVERSITE DE TLEMCEN 2023</w:t>
      </w:r>
    </w:p>
    <w:p>
      <w:pPr>
        <w:spacing w:after="0" w:line="240" w:lineRule="auto"/>
        <w:ind w:left="708"/>
        <w:rPr>
          <w:rFonts w:ascii="Gill Sans MT" w:hAnsi="Gill Sans MT" w:eastAsia="Batang" w:cs="Times New Roman"/>
          <w:bCs/>
          <w:sz w:val="24"/>
          <w:szCs w:val="24"/>
          <w:lang w:eastAsia="ar-DZ" w:bidi="ar-DZ"/>
        </w:rPr>
      </w:pPr>
    </w:p>
    <w:p>
      <w:pPr>
        <w:spacing w:after="0" w:line="240" w:lineRule="auto"/>
        <w:ind w:left="708"/>
        <w:rPr>
          <w:rFonts w:ascii="Gill Sans MT" w:hAnsi="Gill Sans MT" w:eastAsia="Batang" w:cs="Times New Roman"/>
          <w:bCs/>
          <w:sz w:val="24"/>
          <w:szCs w:val="24"/>
          <w:lang w:eastAsia="ar-DZ" w:bidi="ar-DZ"/>
        </w:rPr>
      </w:pPr>
      <w:r>
        <w:rPr>
          <w:rFonts w:ascii="Gill Sans MT" w:hAnsi="Gill Sans MT" w:eastAsia="Batang" w:cs="Times New Roman"/>
          <w:bCs/>
          <w:sz w:val="24"/>
          <w:szCs w:val="24"/>
          <w:lang w:eastAsia="ar-DZ" w:bidi="ar-DZ"/>
        </w:rPr>
        <w:t xml:space="preserve">Référence : </w:t>
      </w:r>
    </w:p>
    <w:p>
      <w:pPr>
        <w:spacing w:after="0" w:line="240" w:lineRule="auto"/>
        <w:ind w:left="708"/>
        <w:rPr>
          <w:rFonts w:ascii="Gill Sans MT" w:hAnsi="Gill Sans MT" w:eastAsia="Batang" w:cs="Times New Roman"/>
          <w:bCs/>
          <w:sz w:val="24"/>
          <w:szCs w:val="24"/>
          <w:lang w:eastAsia="ar-DZ" w:bidi="ar-DZ"/>
        </w:rPr>
      </w:pPr>
    </w:p>
    <w:p>
      <w:pPr>
        <w:pStyle w:val="7"/>
        <w:numPr>
          <w:ilvl w:val="0"/>
          <w:numId w:val="1"/>
        </w:numPr>
        <w:spacing w:before="240" w:line="360" w:lineRule="auto"/>
        <w:rPr>
          <w:rFonts w:ascii="Gill Sans MT" w:hAnsi="Gill Sans MT" w:eastAsia="Batang" w:cs="Times New Roman"/>
          <w:bCs/>
          <w:sz w:val="24"/>
          <w:szCs w:val="24"/>
          <w:lang w:eastAsia="ar-DZ" w:bidi="ar-DZ"/>
        </w:rPr>
      </w:pPr>
      <w:r>
        <w:rPr>
          <w:rFonts w:ascii="Gill Sans MT" w:hAnsi="Gill Sans MT" w:eastAsia="Batang" w:cs="Times New Roman"/>
          <w:bCs/>
          <w:sz w:val="24"/>
          <w:szCs w:val="24"/>
          <w:lang w:eastAsia="ar-DZ" w:bidi="ar-DZ"/>
        </w:rPr>
        <w:t>Vu le décret exécutif n°179/82 du 15/05/1982</w:t>
      </w:r>
    </w:p>
    <w:p>
      <w:pPr>
        <w:pStyle w:val="7"/>
        <w:numPr>
          <w:ilvl w:val="0"/>
          <w:numId w:val="1"/>
        </w:numPr>
        <w:spacing w:before="240" w:line="360" w:lineRule="auto"/>
        <w:rPr>
          <w:rFonts w:ascii="Gill Sans MT" w:hAnsi="Gill Sans MT" w:eastAsia="Batang" w:cs="Times New Roman"/>
          <w:bCs/>
          <w:sz w:val="24"/>
          <w:szCs w:val="24"/>
          <w:lang w:eastAsia="ar-DZ" w:bidi="ar-DZ"/>
        </w:rPr>
      </w:pPr>
      <w:r>
        <w:rPr>
          <w:rFonts w:ascii="Gill Sans MT" w:hAnsi="Gill Sans MT" w:eastAsia="Batang" w:cs="Times New Roman"/>
          <w:bCs/>
          <w:sz w:val="24"/>
          <w:szCs w:val="24"/>
          <w:lang w:eastAsia="ar-DZ" w:bidi="ar-DZ"/>
        </w:rPr>
        <w:t xml:space="preserve"> Vu le décret exécutif n°303/82 du 11/09/1982</w:t>
      </w:r>
    </w:p>
    <w:p>
      <w:pPr>
        <w:pStyle w:val="7"/>
        <w:numPr>
          <w:ilvl w:val="0"/>
          <w:numId w:val="1"/>
        </w:numPr>
        <w:spacing w:before="240" w:line="360" w:lineRule="auto"/>
        <w:rPr>
          <w:rFonts w:ascii="Gill Sans MT" w:hAnsi="Gill Sans MT" w:eastAsia="Batang" w:cs="Times New Roman"/>
          <w:bCs/>
          <w:sz w:val="24"/>
          <w:szCs w:val="24"/>
          <w:lang w:eastAsia="ar-DZ" w:bidi="ar-DZ"/>
        </w:rPr>
      </w:pPr>
      <w:r>
        <w:rPr>
          <w:rFonts w:ascii="Gill Sans MT" w:hAnsi="Gill Sans MT" w:eastAsia="Batang" w:cs="Times New Roman"/>
          <w:bCs/>
          <w:sz w:val="24"/>
          <w:szCs w:val="24"/>
          <w:lang w:eastAsia="ar-DZ" w:bidi="ar-DZ"/>
        </w:rPr>
        <w:t>Vu le décret exécutif n°186/94 du 31/05/1994</w:t>
      </w:r>
    </w:p>
    <w:p>
      <w:pPr>
        <w:pStyle w:val="7"/>
        <w:numPr>
          <w:ilvl w:val="0"/>
          <w:numId w:val="1"/>
        </w:numPr>
        <w:spacing w:before="240" w:line="360" w:lineRule="auto"/>
        <w:rPr>
          <w:rFonts w:ascii="Gill Sans MT" w:hAnsi="Gill Sans MT" w:eastAsia="Batang" w:cs="Times New Roman"/>
          <w:bCs/>
          <w:sz w:val="24"/>
          <w:szCs w:val="24"/>
          <w:lang w:eastAsia="ar-DZ" w:bidi="ar-DZ"/>
        </w:rPr>
      </w:pPr>
      <w:r>
        <w:rPr>
          <w:rFonts w:ascii="Gill Sans MT" w:hAnsi="Gill Sans MT" w:eastAsia="Batang" w:cs="Times New Roman"/>
          <w:bCs/>
          <w:sz w:val="24"/>
          <w:szCs w:val="24"/>
          <w:lang w:eastAsia="ar-DZ" w:bidi="ar-DZ"/>
        </w:rPr>
        <w:t>Vu le décret exécutif n°187/94 du 31/05/1994</w:t>
      </w:r>
    </w:p>
    <w:p>
      <w:pPr>
        <w:pStyle w:val="7"/>
        <w:numPr>
          <w:ilvl w:val="0"/>
          <w:numId w:val="1"/>
        </w:numPr>
        <w:spacing w:before="240" w:line="360" w:lineRule="auto"/>
        <w:rPr>
          <w:rFonts w:ascii="Gill Sans MT" w:hAnsi="Gill Sans MT" w:eastAsia="Batang" w:cs="Times New Roman"/>
          <w:bCs/>
          <w:sz w:val="24"/>
          <w:szCs w:val="24"/>
          <w:lang w:eastAsia="ar-DZ" w:bidi="ar-DZ"/>
        </w:rPr>
      </w:pPr>
      <w:r>
        <w:rPr>
          <w:rFonts w:ascii="Gill Sans MT" w:hAnsi="Gill Sans MT" w:eastAsia="Batang" w:cs="Times New Roman"/>
          <w:bCs/>
          <w:sz w:val="24"/>
          <w:szCs w:val="24"/>
          <w:lang w:eastAsia="ar-DZ" w:bidi="ar-DZ"/>
        </w:rPr>
        <w:t>Vu le décret exécutif n°96/74 du 03/02/1996</w:t>
      </w:r>
    </w:p>
    <w:p>
      <w:pPr>
        <w:pStyle w:val="7"/>
        <w:numPr>
          <w:ilvl w:val="0"/>
          <w:numId w:val="1"/>
        </w:numPr>
        <w:spacing w:before="240" w:line="360" w:lineRule="auto"/>
        <w:rPr>
          <w:rFonts w:ascii="Gill Sans MT" w:hAnsi="Gill Sans MT" w:eastAsia="Batang" w:cs="Times New Roman"/>
          <w:bCs/>
          <w:sz w:val="24"/>
          <w:szCs w:val="24"/>
          <w:lang w:eastAsia="ar-DZ" w:bidi="ar-DZ"/>
        </w:rPr>
      </w:pPr>
      <w:r>
        <w:rPr>
          <w:rFonts w:ascii="Gill Sans MT" w:hAnsi="Gill Sans MT" w:eastAsia="Batang" w:cs="Times New Roman"/>
          <w:bCs/>
          <w:sz w:val="24"/>
          <w:szCs w:val="24"/>
          <w:lang w:eastAsia="ar-DZ" w:bidi="ar-DZ"/>
        </w:rPr>
        <w:t>Vu le décret exécutif n°96/75 du 31/05/1996</w:t>
      </w:r>
    </w:p>
    <w:p>
      <w:pPr>
        <w:pStyle w:val="7"/>
        <w:numPr>
          <w:ilvl w:val="0"/>
          <w:numId w:val="1"/>
        </w:numPr>
        <w:spacing w:before="240" w:line="360" w:lineRule="auto"/>
        <w:jc w:val="both"/>
        <w:rPr>
          <w:rFonts w:ascii="Gill Sans MT" w:hAnsi="Gill Sans MT" w:eastAsia="Batang" w:cs="Times New Roman"/>
          <w:bCs/>
          <w:sz w:val="24"/>
          <w:szCs w:val="24"/>
          <w:lang w:eastAsia="ar-DZ" w:bidi="ar-DZ"/>
        </w:rPr>
      </w:pPr>
      <w:r>
        <w:rPr>
          <w:rFonts w:ascii="Gill Sans MT" w:hAnsi="Gill Sans MT" w:eastAsia="Batang" w:cs="Times New Roman"/>
          <w:bCs/>
          <w:sz w:val="24"/>
          <w:szCs w:val="24"/>
          <w:lang w:eastAsia="ar-DZ" w:bidi="ar-DZ"/>
        </w:rPr>
        <w:t xml:space="preserve"> Vu l’instruction n° 17 du 31/05/1983 du ministère des finances </w:t>
      </w:r>
    </w:p>
    <w:p>
      <w:pPr>
        <w:pStyle w:val="7"/>
        <w:numPr>
          <w:ilvl w:val="0"/>
          <w:numId w:val="1"/>
        </w:numPr>
        <w:spacing w:before="240" w:line="360" w:lineRule="auto"/>
        <w:jc w:val="both"/>
        <w:rPr>
          <w:rFonts w:ascii="Gill Sans MT" w:hAnsi="Gill Sans MT" w:eastAsia="Batang" w:cs="Times New Roman"/>
          <w:bCs/>
          <w:sz w:val="24"/>
          <w:szCs w:val="24"/>
          <w:lang w:eastAsia="ar-DZ" w:bidi="ar-DZ"/>
        </w:rPr>
      </w:pPr>
      <w:r>
        <w:rPr>
          <w:rFonts w:ascii="Gill Sans MT" w:hAnsi="Gill Sans MT" w:eastAsia="Batang" w:cs="Times New Roman"/>
          <w:bCs/>
          <w:sz w:val="24"/>
          <w:szCs w:val="24"/>
          <w:lang w:eastAsia="ar-DZ" w:bidi="ar-DZ"/>
        </w:rPr>
        <w:t xml:space="preserve">Vu l’instruction n°02du 24/04/2002 du ministère de l’enseignement supérieur </w:t>
      </w:r>
    </w:p>
    <w:p>
      <w:pPr>
        <w:pStyle w:val="7"/>
        <w:numPr>
          <w:ilvl w:val="0"/>
          <w:numId w:val="1"/>
        </w:numPr>
        <w:spacing w:before="240" w:line="360" w:lineRule="auto"/>
        <w:jc w:val="both"/>
        <w:rPr>
          <w:rFonts w:ascii="Gill Sans MT" w:hAnsi="Gill Sans MT" w:eastAsia="Batang" w:cs="Times New Roman"/>
          <w:bCs/>
          <w:sz w:val="24"/>
          <w:szCs w:val="24"/>
          <w:lang w:eastAsia="ar-DZ" w:bidi="ar-DZ"/>
        </w:rPr>
      </w:pPr>
      <w:r>
        <w:rPr>
          <w:rFonts w:ascii="Gill Sans MT" w:hAnsi="Gill Sans MT" w:eastAsia="Batang" w:cs="Times New Roman"/>
          <w:bCs/>
          <w:sz w:val="24"/>
          <w:szCs w:val="24"/>
          <w:lang w:eastAsia="ar-DZ" w:bidi="ar-DZ"/>
        </w:rPr>
        <w:t xml:space="preserve">Vu la décision n° 18 du 19/04/2023 portant le renouvellement de la commission des œuvres sociales de l’université de Tlemcen </w:t>
      </w:r>
    </w:p>
    <w:p>
      <w:pPr>
        <w:pStyle w:val="7"/>
        <w:numPr>
          <w:ilvl w:val="0"/>
          <w:numId w:val="1"/>
        </w:numPr>
        <w:spacing w:before="240" w:line="360" w:lineRule="auto"/>
        <w:jc w:val="both"/>
        <w:rPr>
          <w:rFonts w:ascii="Gill Sans MT" w:hAnsi="Gill Sans MT" w:eastAsia="Batang" w:cs="Times New Roman"/>
          <w:bCs/>
          <w:sz w:val="24"/>
          <w:szCs w:val="24"/>
          <w:lang w:eastAsia="ar-DZ" w:bidi="ar-DZ"/>
        </w:rPr>
      </w:pPr>
      <w:r>
        <w:rPr>
          <w:rFonts w:ascii="Gill Sans MT" w:hAnsi="Gill Sans MT" w:eastAsia="Batang" w:cs="Times New Roman"/>
          <w:bCs/>
          <w:sz w:val="24"/>
          <w:szCs w:val="24"/>
          <w:lang w:eastAsia="ar-DZ" w:bidi="ar-DZ"/>
        </w:rPr>
        <w:t>Vu le PV de l’élection du président et vice-président de la commission du 09/05/2023</w:t>
      </w:r>
    </w:p>
    <w:p>
      <w:pPr>
        <w:jc w:val="center"/>
        <w:rPr>
          <w:rFonts w:ascii="Gill Sans MT" w:hAnsi="Gill Sans MT"/>
          <w:sz w:val="40"/>
          <w:szCs w:val="40"/>
        </w:rPr>
      </w:pPr>
    </w:p>
    <w:p>
      <w:pPr>
        <w:jc w:val="center"/>
        <w:rPr>
          <w:rFonts w:ascii="Gill Sans MT" w:hAnsi="Gill Sans MT"/>
          <w:sz w:val="40"/>
          <w:szCs w:val="40"/>
        </w:rPr>
      </w:pPr>
    </w:p>
    <w:p>
      <w:pPr>
        <w:jc w:val="center"/>
        <w:rPr>
          <w:rFonts w:ascii="Gill Sans MT" w:hAnsi="Gill Sans MT"/>
          <w:sz w:val="40"/>
          <w:szCs w:val="40"/>
        </w:rPr>
      </w:pPr>
    </w:p>
    <w:p>
      <w:pPr>
        <w:pStyle w:val="6"/>
        <w:spacing w:line="360" w:lineRule="auto"/>
        <w:ind w:firstLine="708"/>
        <w:jc w:val="both"/>
        <w:rPr>
          <w:rFonts w:ascii="Gill Sans MT" w:hAnsi="Gill Sans MT"/>
        </w:rPr>
      </w:pPr>
      <w:r>
        <w:rPr>
          <w:rFonts w:ascii="Gill Sans MT" w:hAnsi="Gill Sans MT"/>
        </w:rPr>
        <w:t xml:space="preserve">Article 01 : L’objectif du règlement intérieur type de la Commission d'identifier les fonctions et pouvoirs de la Commission et leur relation avec les syndicats et l’organisme employeur. </w:t>
      </w:r>
    </w:p>
    <w:p>
      <w:pPr>
        <w:pStyle w:val="6"/>
        <w:spacing w:line="360" w:lineRule="auto"/>
        <w:ind w:firstLine="708"/>
        <w:jc w:val="both"/>
        <w:rPr>
          <w:rFonts w:ascii="Gill Sans MT" w:hAnsi="Gill Sans MT"/>
        </w:rPr>
      </w:pPr>
      <w:r>
        <w:rPr>
          <w:rFonts w:ascii="Gill Sans MT" w:hAnsi="Gill Sans MT"/>
        </w:rPr>
        <w:t xml:space="preserve">Article 02 : Le règlement intérieur définit les modalités, la gestion, les investissements et l’exploitation des fonds sociaux conformément aux mécanismes de contrôle généraux. </w:t>
      </w:r>
    </w:p>
    <w:p>
      <w:pPr>
        <w:pStyle w:val="6"/>
        <w:spacing w:line="360" w:lineRule="auto"/>
        <w:ind w:firstLine="708"/>
        <w:jc w:val="both"/>
        <w:rPr>
          <w:rFonts w:ascii="Gill Sans MT" w:hAnsi="Gill Sans MT"/>
        </w:rPr>
      </w:pPr>
      <w:r>
        <w:rPr>
          <w:rFonts w:ascii="Gill Sans MT" w:hAnsi="Gill Sans MT"/>
        </w:rPr>
        <w:t xml:space="preserve">Article 03 : La Commission des œuvres sociales est un organisme de délibération, elle détient la gestion des activités des œuvres sociales avec la structure de gestion. </w:t>
      </w:r>
    </w:p>
    <w:p>
      <w:pPr>
        <w:pStyle w:val="6"/>
        <w:spacing w:line="360" w:lineRule="auto"/>
        <w:ind w:firstLine="708"/>
        <w:jc w:val="both"/>
        <w:rPr>
          <w:rFonts w:ascii="Gill Sans MT" w:hAnsi="Gill Sans MT"/>
        </w:rPr>
      </w:pPr>
      <w:r>
        <w:rPr>
          <w:rFonts w:ascii="Gill Sans MT" w:hAnsi="Gill Sans MT"/>
        </w:rPr>
        <w:t xml:space="preserve">Article 04: La Commission se compose de </w:t>
      </w:r>
      <w:r>
        <w:rPr>
          <w:rFonts w:ascii="Gill Sans MT" w:hAnsi="Gill Sans MT"/>
          <w:b/>
        </w:rPr>
        <w:t>neuf (9)</w:t>
      </w:r>
      <w:r>
        <w:rPr>
          <w:rFonts w:ascii="Gill Sans MT" w:hAnsi="Gill Sans MT"/>
        </w:rPr>
        <w:t xml:space="preserve"> membres permanents et de </w:t>
      </w:r>
      <w:r>
        <w:rPr>
          <w:rFonts w:ascii="Gill Sans MT" w:hAnsi="Gill Sans MT"/>
          <w:b/>
        </w:rPr>
        <w:t>trois (03</w:t>
      </w:r>
      <w:r>
        <w:rPr>
          <w:rFonts w:ascii="Gill Sans MT" w:hAnsi="Gill Sans MT"/>
        </w:rPr>
        <w:t xml:space="preserve">) suppléants. </w:t>
      </w:r>
    </w:p>
    <w:p>
      <w:pPr>
        <w:pStyle w:val="6"/>
        <w:spacing w:line="360" w:lineRule="auto"/>
        <w:ind w:firstLine="708"/>
        <w:jc w:val="both"/>
        <w:rPr>
          <w:rFonts w:ascii="Gill Sans MT" w:hAnsi="Gill Sans MT"/>
        </w:rPr>
      </w:pPr>
      <w:r>
        <w:rPr>
          <w:rFonts w:ascii="Gill Sans MT" w:hAnsi="Gill Sans MT"/>
        </w:rPr>
        <w:t>Liste des membres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0"/>
        <w:gridCol w:w="3827"/>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pStyle w:val="6"/>
              <w:spacing w:line="360" w:lineRule="auto"/>
              <w:jc w:val="both"/>
              <w:rPr>
                <w:rFonts w:ascii="Gill Sans MT" w:hAnsi="Gill Sans MT"/>
              </w:rPr>
            </w:pPr>
            <w:r>
              <w:rPr>
                <w:rFonts w:ascii="Gill Sans MT" w:hAnsi="Gill Sans MT"/>
              </w:rPr>
              <w:t>N°</w:t>
            </w:r>
          </w:p>
        </w:tc>
        <w:tc>
          <w:tcPr>
            <w:tcW w:w="3827" w:type="dxa"/>
          </w:tcPr>
          <w:p>
            <w:pPr>
              <w:pStyle w:val="6"/>
              <w:spacing w:line="360" w:lineRule="auto"/>
              <w:jc w:val="both"/>
              <w:rPr>
                <w:rFonts w:ascii="Gill Sans MT" w:hAnsi="Gill Sans MT"/>
              </w:rPr>
            </w:pPr>
            <w:r>
              <w:rPr>
                <w:rFonts w:ascii="Gill Sans MT" w:hAnsi="Gill Sans MT"/>
              </w:rPr>
              <w:t xml:space="preserve">Nom Prénom </w:t>
            </w:r>
          </w:p>
        </w:tc>
        <w:tc>
          <w:tcPr>
            <w:tcW w:w="2835" w:type="dxa"/>
          </w:tcPr>
          <w:p>
            <w:pPr>
              <w:pStyle w:val="6"/>
              <w:spacing w:line="360" w:lineRule="auto"/>
              <w:jc w:val="both"/>
              <w:rPr>
                <w:rFonts w:ascii="Gill Sans MT" w:hAnsi="Gill Sans MT"/>
              </w:rPr>
            </w:pPr>
            <w:r>
              <w:rPr>
                <w:rFonts w:ascii="Gill Sans MT" w:hAnsi="Gill Sans MT"/>
              </w:rPr>
              <w:t xml:space="preserve">Qualité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pStyle w:val="6"/>
              <w:spacing w:line="360" w:lineRule="auto"/>
              <w:jc w:val="both"/>
              <w:rPr>
                <w:rFonts w:ascii="Gill Sans MT" w:hAnsi="Gill Sans MT"/>
              </w:rPr>
            </w:pPr>
            <w:r>
              <w:rPr>
                <w:rFonts w:ascii="Gill Sans MT" w:hAnsi="Gill Sans MT"/>
              </w:rPr>
              <w:t>1</w:t>
            </w:r>
          </w:p>
        </w:tc>
        <w:tc>
          <w:tcPr>
            <w:tcW w:w="3827" w:type="dxa"/>
          </w:tcPr>
          <w:p>
            <w:pPr>
              <w:pStyle w:val="6"/>
              <w:spacing w:line="360" w:lineRule="auto"/>
              <w:rPr>
                <w:rFonts w:ascii="Gill Sans MT" w:hAnsi="Gill Sans MT"/>
              </w:rPr>
            </w:pPr>
            <w:r>
              <w:rPr>
                <w:rFonts w:ascii="Gill Sans MT" w:hAnsi="Gill Sans MT"/>
              </w:rPr>
              <w:t>Merzouk Abdessamad</w:t>
            </w:r>
          </w:p>
        </w:tc>
        <w:tc>
          <w:tcPr>
            <w:tcW w:w="2835" w:type="dxa"/>
          </w:tcPr>
          <w:p>
            <w:pPr>
              <w:pStyle w:val="6"/>
              <w:spacing w:line="360" w:lineRule="auto"/>
              <w:jc w:val="both"/>
              <w:rPr>
                <w:rFonts w:ascii="Gill Sans MT" w:hAnsi="Gill Sans MT"/>
              </w:rPr>
            </w:pPr>
            <w:r>
              <w:rPr>
                <w:rFonts w:ascii="Gill Sans MT" w:hAnsi="Gill Sans MT"/>
              </w:rPr>
              <w:t xml:space="preserve">Président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pStyle w:val="6"/>
              <w:spacing w:line="360" w:lineRule="auto"/>
              <w:jc w:val="both"/>
              <w:rPr>
                <w:rFonts w:ascii="Gill Sans MT" w:hAnsi="Gill Sans MT"/>
              </w:rPr>
            </w:pPr>
            <w:r>
              <w:rPr>
                <w:rFonts w:ascii="Gill Sans MT" w:hAnsi="Gill Sans MT"/>
              </w:rPr>
              <w:t>2</w:t>
            </w:r>
          </w:p>
        </w:tc>
        <w:tc>
          <w:tcPr>
            <w:tcW w:w="3827" w:type="dxa"/>
          </w:tcPr>
          <w:p>
            <w:pPr>
              <w:pStyle w:val="6"/>
              <w:spacing w:line="360" w:lineRule="auto"/>
              <w:rPr>
                <w:rFonts w:ascii="Gill Sans MT" w:hAnsi="Gill Sans MT"/>
              </w:rPr>
            </w:pPr>
            <w:r>
              <w:rPr>
                <w:rFonts w:ascii="Gill Sans MT" w:hAnsi="Gill Sans MT"/>
              </w:rPr>
              <w:t>Ghanemi Mustapha Kamel</w:t>
            </w:r>
          </w:p>
        </w:tc>
        <w:tc>
          <w:tcPr>
            <w:tcW w:w="2835" w:type="dxa"/>
          </w:tcPr>
          <w:p>
            <w:pPr>
              <w:pStyle w:val="6"/>
              <w:spacing w:line="360" w:lineRule="auto"/>
              <w:jc w:val="both"/>
              <w:rPr>
                <w:rFonts w:ascii="Gill Sans MT" w:hAnsi="Gill Sans MT"/>
              </w:rPr>
            </w:pPr>
            <w:r>
              <w:rPr>
                <w:rFonts w:ascii="Gill Sans MT" w:hAnsi="Gill Sans MT"/>
              </w:rPr>
              <w:t xml:space="preserve">Vice-Président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pStyle w:val="6"/>
              <w:spacing w:line="360" w:lineRule="auto"/>
              <w:jc w:val="both"/>
              <w:rPr>
                <w:rFonts w:ascii="Gill Sans MT" w:hAnsi="Gill Sans MT"/>
              </w:rPr>
            </w:pPr>
            <w:r>
              <w:rPr>
                <w:rFonts w:ascii="Gill Sans MT" w:hAnsi="Gill Sans MT"/>
              </w:rPr>
              <w:t>3</w:t>
            </w:r>
          </w:p>
        </w:tc>
        <w:tc>
          <w:tcPr>
            <w:tcW w:w="3827" w:type="dxa"/>
          </w:tcPr>
          <w:p>
            <w:pPr>
              <w:pStyle w:val="6"/>
              <w:spacing w:line="360" w:lineRule="auto"/>
              <w:rPr>
                <w:rFonts w:ascii="Gill Sans MT" w:hAnsi="Gill Sans MT"/>
              </w:rPr>
            </w:pPr>
            <w:r>
              <w:rPr>
                <w:rFonts w:ascii="Gill Sans MT" w:hAnsi="Gill Sans MT"/>
              </w:rPr>
              <w:t>Tchiali Naziha</w:t>
            </w:r>
          </w:p>
        </w:tc>
        <w:tc>
          <w:tcPr>
            <w:tcW w:w="2835" w:type="dxa"/>
          </w:tcPr>
          <w:p>
            <w:pPr>
              <w:pStyle w:val="6"/>
              <w:spacing w:line="360" w:lineRule="auto"/>
              <w:jc w:val="both"/>
              <w:rPr>
                <w:rFonts w:ascii="Gill Sans MT" w:hAnsi="Gill Sans MT"/>
              </w:rPr>
            </w:pPr>
            <w:r>
              <w:rPr>
                <w:rFonts w:ascii="Gill Sans MT" w:hAnsi="Gill Sans MT"/>
              </w:rPr>
              <w:t xml:space="preserve">Membre permanent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pStyle w:val="6"/>
              <w:spacing w:line="360" w:lineRule="auto"/>
              <w:jc w:val="both"/>
              <w:rPr>
                <w:rFonts w:ascii="Gill Sans MT" w:hAnsi="Gill Sans MT"/>
              </w:rPr>
            </w:pPr>
            <w:r>
              <w:rPr>
                <w:rFonts w:ascii="Gill Sans MT" w:hAnsi="Gill Sans MT"/>
              </w:rPr>
              <w:t>4</w:t>
            </w:r>
          </w:p>
        </w:tc>
        <w:tc>
          <w:tcPr>
            <w:tcW w:w="3827" w:type="dxa"/>
          </w:tcPr>
          <w:p>
            <w:pPr>
              <w:pStyle w:val="6"/>
              <w:spacing w:line="360" w:lineRule="auto"/>
              <w:rPr>
                <w:rFonts w:ascii="Gill Sans MT" w:hAnsi="Gill Sans MT"/>
              </w:rPr>
            </w:pPr>
            <w:r>
              <w:rPr>
                <w:rFonts w:ascii="Gill Sans MT" w:hAnsi="Gill Sans MT"/>
              </w:rPr>
              <w:t>Chaabane Sari Sidi Mohamed</w:t>
            </w:r>
          </w:p>
        </w:tc>
        <w:tc>
          <w:tcPr>
            <w:tcW w:w="2835" w:type="dxa"/>
          </w:tcPr>
          <w:p>
            <w:pPr>
              <w:pStyle w:val="6"/>
              <w:spacing w:line="360" w:lineRule="auto"/>
              <w:jc w:val="both"/>
              <w:rPr>
                <w:rFonts w:ascii="Gill Sans MT" w:hAnsi="Gill Sans MT"/>
              </w:rPr>
            </w:pPr>
            <w:r>
              <w:rPr>
                <w:rFonts w:ascii="Gill Sans MT" w:hAnsi="Gill Sans MT"/>
              </w:rPr>
              <w:t>Membre permanent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600" w:type="dxa"/>
          </w:tcPr>
          <w:p>
            <w:pPr>
              <w:pStyle w:val="6"/>
              <w:spacing w:line="360" w:lineRule="auto"/>
              <w:jc w:val="both"/>
              <w:rPr>
                <w:rFonts w:ascii="Gill Sans MT" w:hAnsi="Gill Sans MT"/>
              </w:rPr>
            </w:pPr>
            <w:r>
              <w:rPr>
                <w:rFonts w:ascii="Gill Sans MT" w:hAnsi="Gill Sans MT"/>
              </w:rPr>
              <w:t>5</w:t>
            </w:r>
          </w:p>
        </w:tc>
        <w:tc>
          <w:tcPr>
            <w:tcW w:w="3827" w:type="dxa"/>
          </w:tcPr>
          <w:p>
            <w:pPr>
              <w:pStyle w:val="6"/>
              <w:spacing w:line="360" w:lineRule="auto"/>
              <w:rPr>
                <w:rFonts w:ascii="Gill Sans MT" w:hAnsi="Gill Sans MT"/>
              </w:rPr>
            </w:pPr>
            <w:r>
              <w:rPr>
                <w:rFonts w:ascii="Gill Sans MT" w:hAnsi="Gill Sans MT"/>
              </w:rPr>
              <w:t>Attar Ahmed</w:t>
            </w:r>
          </w:p>
        </w:tc>
        <w:tc>
          <w:tcPr>
            <w:tcW w:w="2835" w:type="dxa"/>
          </w:tcPr>
          <w:p>
            <w:pPr>
              <w:pStyle w:val="6"/>
              <w:spacing w:line="360" w:lineRule="auto"/>
              <w:jc w:val="both"/>
              <w:rPr>
                <w:rFonts w:ascii="Gill Sans MT" w:hAnsi="Gill Sans MT"/>
              </w:rPr>
            </w:pPr>
            <w:r>
              <w:rPr>
                <w:rFonts w:ascii="Gill Sans MT" w:hAnsi="Gill Sans MT"/>
              </w:rPr>
              <w:t>Membre permanent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pStyle w:val="6"/>
              <w:spacing w:line="360" w:lineRule="auto"/>
              <w:jc w:val="both"/>
              <w:rPr>
                <w:rFonts w:ascii="Gill Sans MT" w:hAnsi="Gill Sans MT"/>
              </w:rPr>
            </w:pPr>
            <w:r>
              <w:rPr>
                <w:rFonts w:ascii="Gill Sans MT" w:hAnsi="Gill Sans MT"/>
              </w:rPr>
              <w:t>6</w:t>
            </w:r>
          </w:p>
        </w:tc>
        <w:tc>
          <w:tcPr>
            <w:tcW w:w="3827" w:type="dxa"/>
          </w:tcPr>
          <w:p>
            <w:pPr>
              <w:pStyle w:val="6"/>
              <w:spacing w:line="360" w:lineRule="auto"/>
              <w:jc w:val="both"/>
              <w:rPr>
                <w:rFonts w:ascii="Gill Sans MT" w:hAnsi="Gill Sans MT"/>
              </w:rPr>
            </w:pPr>
            <w:r>
              <w:rPr>
                <w:rFonts w:ascii="Gill Sans MT" w:hAnsi="Gill Sans MT"/>
              </w:rPr>
              <w:t>Maafi Abdelkader</w:t>
            </w:r>
          </w:p>
        </w:tc>
        <w:tc>
          <w:tcPr>
            <w:tcW w:w="2835" w:type="dxa"/>
          </w:tcPr>
          <w:p>
            <w:pPr>
              <w:pStyle w:val="6"/>
              <w:spacing w:line="360" w:lineRule="auto"/>
              <w:jc w:val="both"/>
              <w:rPr>
                <w:rFonts w:ascii="Gill Sans MT" w:hAnsi="Gill Sans MT"/>
              </w:rPr>
            </w:pPr>
            <w:r>
              <w:rPr>
                <w:rFonts w:ascii="Gill Sans MT" w:hAnsi="Gill Sans MT"/>
              </w:rPr>
              <w:t>Membre permanent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pStyle w:val="6"/>
              <w:spacing w:line="360" w:lineRule="auto"/>
              <w:jc w:val="both"/>
              <w:rPr>
                <w:rFonts w:ascii="Gill Sans MT" w:hAnsi="Gill Sans MT"/>
              </w:rPr>
            </w:pPr>
            <w:r>
              <w:rPr>
                <w:rFonts w:ascii="Gill Sans MT" w:hAnsi="Gill Sans MT"/>
              </w:rPr>
              <w:t>7</w:t>
            </w:r>
          </w:p>
        </w:tc>
        <w:tc>
          <w:tcPr>
            <w:tcW w:w="3827" w:type="dxa"/>
          </w:tcPr>
          <w:p>
            <w:pPr>
              <w:pStyle w:val="6"/>
              <w:spacing w:line="360" w:lineRule="auto"/>
              <w:jc w:val="both"/>
              <w:rPr>
                <w:rFonts w:ascii="Gill Sans MT" w:hAnsi="Gill Sans MT"/>
              </w:rPr>
            </w:pPr>
            <w:r>
              <w:rPr>
                <w:rFonts w:ascii="Gill Sans MT" w:hAnsi="Gill Sans MT"/>
              </w:rPr>
              <w:t>Abdellaoui  Mohamed El Amine</w:t>
            </w:r>
          </w:p>
        </w:tc>
        <w:tc>
          <w:tcPr>
            <w:tcW w:w="2835" w:type="dxa"/>
          </w:tcPr>
          <w:p>
            <w:pPr>
              <w:pStyle w:val="6"/>
              <w:spacing w:line="360" w:lineRule="auto"/>
              <w:jc w:val="both"/>
              <w:rPr>
                <w:rFonts w:ascii="Gill Sans MT" w:hAnsi="Gill Sans MT"/>
              </w:rPr>
            </w:pPr>
            <w:r>
              <w:rPr>
                <w:rFonts w:ascii="Gill Sans MT" w:hAnsi="Gill Sans MT"/>
              </w:rPr>
              <w:t>Membre permanent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pStyle w:val="6"/>
              <w:spacing w:line="360" w:lineRule="auto"/>
              <w:jc w:val="both"/>
              <w:rPr>
                <w:rFonts w:ascii="Gill Sans MT" w:hAnsi="Gill Sans MT"/>
              </w:rPr>
            </w:pPr>
            <w:r>
              <w:rPr>
                <w:rFonts w:ascii="Gill Sans MT" w:hAnsi="Gill Sans MT"/>
              </w:rPr>
              <w:t>8</w:t>
            </w:r>
          </w:p>
        </w:tc>
        <w:tc>
          <w:tcPr>
            <w:tcW w:w="3827" w:type="dxa"/>
          </w:tcPr>
          <w:p>
            <w:pPr>
              <w:pStyle w:val="6"/>
              <w:spacing w:line="360" w:lineRule="auto"/>
              <w:jc w:val="both"/>
              <w:rPr>
                <w:rFonts w:ascii="Gill Sans MT" w:hAnsi="Gill Sans MT"/>
              </w:rPr>
            </w:pPr>
            <w:r>
              <w:rPr>
                <w:rFonts w:ascii="Gill Sans MT" w:hAnsi="Gill Sans MT"/>
              </w:rPr>
              <w:t>Belkacimi Safi</w:t>
            </w:r>
          </w:p>
        </w:tc>
        <w:tc>
          <w:tcPr>
            <w:tcW w:w="2835" w:type="dxa"/>
          </w:tcPr>
          <w:p>
            <w:pPr>
              <w:pStyle w:val="6"/>
              <w:spacing w:line="360" w:lineRule="auto"/>
              <w:jc w:val="both"/>
              <w:rPr>
                <w:rFonts w:ascii="Gill Sans MT" w:hAnsi="Gill Sans MT"/>
              </w:rPr>
            </w:pPr>
            <w:r>
              <w:rPr>
                <w:rFonts w:ascii="Gill Sans MT" w:hAnsi="Gill Sans MT"/>
              </w:rPr>
              <w:t>Membre permanent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pStyle w:val="6"/>
              <w:spacing w:line="360" w:lineRule="auto"/>
              <w:jc w:val="both"/>
              <w:rPr>
                <w:rFonts w:ascii="Gill Sans MT" w:hAnsi="Gill Sans MT"/>
              </w:rPr>
            </w:pPr>
            <w:r>
              <w:rPr>
                <w:rFonts w:ascii="Gill Sans MT" w:hAnsi="Gill Sans MT"/>
              </w:rPr>
              <w:t>9</w:t>
            </w:r>
          </w:p>
        </w:tc>
        <w:tc>
          <w:tcPr>
            <w:tcW w:w="3827" w:type="dxa"/>
          </w:tcPr>
          <w:p>
            <w:pPr>
              <w:pStyle w:val="6"/>
              <w:spacing w:line="360" w:lineRule="auto"/>
              <w:jc w:val="both"/>
              <w:rPr>
                <w:rFonts w:ascii="Gill Sans MT" w:hAnsi="Gill Sans MT"/>
              </w:rPr>
            </w:pPr>
            <w:r>
              <w:rPr>
                <w:rFonts w:ascii="Gill Sans MT" w:hAnsi="Gill Sans MT"/>
              </w:rPr>
              <w:t>Nehari Abdelmalek</w:t>
            </w:r>
          </w:p>
        </w:tc>
        <w:tc>
          <w:tcPr>
            <w:tcW w:w="2835" w:type="dxa"/>
          </w:tcPr>
          <w:p>
            <w:pPr>
              <w:pStyle w:val="6"/>
              <w:spacing w:line="360" w:lineRule="auto"/>
              <w:jc w:val="both"/>
              <w:rPr>
                <w:rFonts w:ascii="Gill Sans MT" w:hAnsi="Gill Sans MT"/>
              </w:rPr>
            </w:pPr>
            <w:r>
              <w:rPr>
                <w:rFonts w:ascii="Gill Sans MT" w:hAnsi="Gill Sans MT"/>
              </w:rPr>
              <w:t>Membre permanent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pStyle w:val="6"/>
              <w:spacing w:line="360" w:lineRule="auto"/>
              <w:jc w:val="both"/>
              <w:rPr>
                <w:rFonts w:ascii="Gill Sans MT" w:hAnsi="Gill Sans MT"/>
                <w:b/>
              </w:rPr>
            </w:pPr>
            <w:r>
              <w:rPr>
                <w:rFonts w:ascii="Gill Sans MT" w:hAnsi="Gill Sans MT"/>
                <w:b/>
              </w:rPr>
              <w:t>10</w:t>
            </w:r>
          </w:p>
        </w:tc>
        <w:tc>
          <w:tcPr>
            <w:tcW w:w="3827" w:type="dxa"/>
          </w:tcPr>
          <w:p>
            <w:pPr>
              <w:pStyle w:val="6"/>
              <w:spacing w:line="360" w:lineRule="auto"/>
              <w:jc w:val="both"/>
              <w:rPr>
                <w:rFonts w:ascii="Gill Sans MT" w:hAnsi="Gill Sans MT"/>
                <w:b/>
              </w:rPr>
            </w:pPr>
            <w:r>
              <w:rPr>
                <w:rFonts w:ascii="Gill Sans MT" w:hAnsi="Gill Sans MT"/>
                <w:b/>
              </w:rPr>
              <w:t>Benkenadil Abdelkader</w:t>
            </w:r>
          </w:p>
        </w:tc>
        <w:tc>
          <w:tcPr>
            <w:tcW w:w="2835" w:type="dxa"/>
          </w:tcPr>
          <w:p>
            <w:pPr>
              <w:pStyle w:val="6"/>
              <w:spacing w:line="360" w:lineRule="auto"/>
              <w:jc w:val="both"/>
              <w:rPr>
                <w:rFonts w:ascii="Gill Sans MT" w:hAnsi="Gill Sans MT"/>
                <w:b/>
              </w:rPr>
            </w:pPr>
            <w:r>
              <w:rPr>
                <w:rFonts w:ascii="Gill Sans MT" w:hAnsi="Gill Sans MT"/>
                <w:b/>
              </w:rPr>
              <w:t xml:space="preserve">Membre suppléant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pStyle w:val="6"/>
              <w:spacing w:line="360" w:lineRule="auto"/>
              <w:jc w:val="both"/>
              <w:rPr>
                <w:rFonts w:ascii="Gill Sans MT" w:hAnsi="Gill Sans MT"/>
                <w:b/>
              </w:rPr>
            </w:pPr>
            <w:r>
              <w:rPr>
                <w:rFonts w:ascii="Gill Sans MT" w:hAnsi="Gill Sans MT"/>
                <w:b/>
              </w:rPr>
              <w:t>11</w:t>
            </w:r>
          </w:p>
        </w:tc>
        <w:tc>
          <w:tcPr>
            <w:tcW w:w="3827" w:type="dxa"/>
          </w:tcPr>
          <w:p>
            <w:pPr>
              <w:pStyle w:val="6"/>
              <w:spacing w:line="360" w:lineRule="auto"/>
              <w:jc w:val="both"/>
              <w:rPr>
                <w:rFonts w:ascii="Gill Sans MT" w:hAnsi="Gill Sans MT"/>
                <w:b/>
              </w:rPr>
            </w:pPr>
            <w:r>
              <w:rPr>
                <w:rFonts w:ascii="Gill Sans MT" w:hAnsi="Gill Sans MT"/>
                <w:b/>
              </w:rPr>
              <w:t>Benmaamar Khereddine</w:t>
            </w:r>
          </w:p>
        </w:tc>
        <w:tc>
          <w:tcPr>
            <w:tcW w:w="2835" w:type="dxa"/>
          </w:tcPr>
          <w:p>
            <w:pPr>
              <w:pStyle w:val="6"/>
              <w:spacing w:line="360" w:lineRule="auto"/>
              <w:jc w:val="both"/>
              <w:rPr>
                <w:rFonts w:ascii="Gill Sans MT" w:hAnsi="Gill Sans MT"/>
                <w:b/>
              </w:rPr>
            </w:pPr>
            <w:r>
              <w:rPr>
                <w:rFonts w:ascii="Gill Sans MT" w:hAnsi="Gill Sans MT"/>
                <w:b/>
              </w:rPr>
              <w:t>Membre suppléant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0" w:type="dxa"/>
          </w:tcPr>
          <w:p>
            <w:pPr>
              <w:pStyle w:val="6"/>
              <w:spacing w:line="360" w:lineRule="auto"/>
              <w:jc w:val="both"/>
              <w:rPr>
                <w:rFonts w:ascii="Gill Sans MT" w:hAnsi="Gill Sans MT"/>
                <w:b/>
              </w:rPr>
            </w:pPr>
            <w:r>
              <w:rPr>
                <w:rFonts w:ascii="Gill Sans MT" w:hAnsi="Gill Sans MT"/>
                <w:b/>
              </w:rPr>
              <w:t>12</w:t>
            </w:r>
          </w:p>
        </w:tc>
        <w:tc>
          <w:tcPr>
            <w:tcW w:w="3827" w:type="dxa"/>
          </w:tcPr>
          <w:p>
            <w:pPr>
              <w:pStyle w:val="6"/>
              <w:spacing w:line="360" w:lineRule="auto"/>
              <w:jc w:val="both"/>
              <w:rPr>
                <w:rFonts w:ascii="Gill Sans MT" w:hAnsi="Gill Sans MT"/>
                <w:b/>
              </w:rPr>
            </w:pPr>
            <w:r>
              <w:rPr>
                <w:rFonts w:ascii="Gill Sans MT" w:hAnsi="Gill Sans MT"/>
                <w:b/>
              </w:rPr>
              <w:t xml:space="preserve">Belaidi Nabila </w:t>
            </w:r>
          </w:p>
        </w:tc>
        <w:tc>
          <w:tcPr>
            <w:tcW w:w="2835" w:type="dxa"/>
          </w:tcPr>
          <w:p>
            <w:pPr>
              <w:pStyle w:val="6"/>
              <w:spacing w:line="360" w:lineRule="auto"/>
              <w:jc w:val="both"/>
              <w:rPr>
                <w:rFonts w:ascii="Gill Sans MT" w:hAnsi="Gill Sans MT"/>
                <w:b/>
              </w:rPr>
            </w:pPr>
            <w:r>
              <w:rPr>
                <w:rFonts w:ascii="Gill Sans MT" w:hAnsi="Gill Sans MT"/>
                <w:b/>
              </w:rPr>
              <w:t>Membre suppléant</w:t>
            </w:r>
          </w:p>
        </w:tc>
      </w:tr>
    </w:tbl>
    <w:p>
      <w:pPr>
        <w:pStyle w:val="6"/>
        <w:spacing w:line="360" w:lineRule="auto"/>
        <w:ind w:left="1068"/>
        <w:jc w:val="both"/>
        <w:rPr>
          <w:rFonts w:ascii="Gill Sans MT" w:hAnsi="Gill Sans MT"/>
        </w:rPr>
      </w:pPr>
    </w:p>
    <w:p>
      <w:pPr>
        <w:pStyle w:val="6"/>
        <w:spacing w:line="360" w:lineRule="auto"/>
        <w:ind w:firstLine="708"/>
        <w:jc w:val="both"/>
        <w:rPr>
          <w:rFonts w:ascii="Gill Sans MT" w:hAnsi="Gill Sans MT"/>
        </w:rPr>
      </w:pPr>
      <w:r>
        <w:rPr>
          <w:rFonts w:ascii="Gill Sans MT" w:hAnsi="Gill Sans MT"/>
        </w:rPr>
        <w:t xml:space="preserve">Article 05 : La participation de nouveaux membres suppliants du Comité à titre consultatif. </w:t>
      </w:r>
    </w:p>
    <w:p>
      <w:pPr>
        <w:pStyle w:val="6"/>
        <w:spacing w:line="360" w:lineRule="auto"/>
        <w:ind w:firstLine="708"/>
        <w:jc w:val="both"/>
        <w:rPr>
          <w:rFonts w:ascii="Gill Sans MT" w:hAnsi="Gill Sans MT"/>
        </w:rPr>
      </w:pPr>
      <w:r>
        <w:rPr>
          <w:rFonts w:ascii="Gill Sans MT" w:hAnsi="Gill Sans MT"/>
        </w:rPr>
        <w:t xml:space="preserve">Article 06 : Les membres de la Commission jouissent de la protection juridique et des facilités nécessaires de la part de l’organisme employeur. </w:t>
      </w:r>
    </w:p>
    <w:p>
      <w:pPr>
        <w:pStyle w:val="6"/>
        <w:spacing w:line="360" w:lineRule="auto"/>
        <w:ind w:firstLine="708"/>
        <w:jc w:val="both"/>
        <w:rPr>
          <w:rFonts w:ascii="Gill Sans MT" w:hAnsi="Gill Sans MT"/>
        </w:rPr>
      </w:pPr>
    </w:p>
    <w:p>
      <w:pPr>
        <w:pStyle w:val="6"/>
        <w:spacing w:line="360" w:lineRule="auto"/>
        <w:ind w:firstLine="708"/>
        <w:jc w:val="both"/>
        <w:rPr>
          <w:rFonts w:ascii="Gill Sans MT" w:hAnsi="Gill Sans MT"/>
        </w:rPr>
      </w:pPr>
      <w:r>
        <w:rPr>
          <w:rFonts w:ascii="Gill Sans MT" w:hAnsi="Gill Sans MT"/>
        </w:rPr>
        <w:t>Article 07 : L’organisme employeur doit fournir une protection conformément à la loi pour les membres du Comité en vue de leur permettre de mener à bien leurs fonctions de représentant des tâches.</w:t>
      </w:r>
    </w:p>
    <w:p>
      <w:pPr>
        <w:pStyle w:val="6"/>
        <w:spacing w:line="360" w:lineRule="auto"/>
        <w:ind w:firstLine="708"/>
        <w:jc w:val="both"/>
        <w:rPr>
          <w:rFonts w:ascii="Gill Sans MT" w:hAnsi="Gill Sans MT"/>
        </w:rPr>
      </w:pPr>
      <w:r>
        <w:rPr>
          <w:rFonts w:ascii="Gill Sans MT" w:hAnsi="Gill Sans MT"/>
        </w:rPr>
        <w:t>Article 08 : Le Président d</w:t>
      </w:r>
      <w:r>
        <w:rPr>
          <w:rFonts w:hint="default" w:ascii="Gill Sans MT" w:hAnsi="Gill Sans MT"/>
          <w:lang w:val="fr-FR"/>
        </w:rPr>
        <w:t xml:space="preserve">e la commission </w:t>
      </w:r>
      <w:r>
        <w:rPr>
          <w:rFonts w:ascii="Gill Sans MT" w:hAnsi="Gill Sans MT"/>
        </w:rPr>
        <w:t xml:space="preserve"> et ses membres se consacrent à temps partiel aux activités des œuvres sociales. </w:t>
      </w:r>
    </w:p>
    <w:p>
      <w:pPr>
        <w:pStyle w:val="6"/>
        <w:spacing w:line="360" w:lineRule="auto"/>
        <w:ind w:firstLine="708"/>
        <w:jc w:val="both"/>
        <w:rPr>
          <w:rFonts w:ascii="Gill Sans MT" w:hAnsi="Gill Sans MT"/>
        </w:rPr>
      </w:pPr>
      <w:r>
        <w:rPr>
          <w:rFonts w:ascii="Gill Sans MT" w:hAnsi="Gill Sans MT"/>
        </w:rPr>
        <w:t xml:space="preserve">Article 09 : La structure de gestion se consacre entièrement aux activités des œuvres sociales. </w:t>
      </w:r>
    </w:p>
    <w:p>
      <w:pPr>
        <w:pStyle w:val="6"/>
        <w:spacing w:line="360" w:lineRule="auto"/>
        <w:ind w:firstLine="708"/>
        <w:jc w:val="both"/>
        <w:rPr>
          <w:rFonts w:ascii="Gill Sans MT" w:hAnsi="Gill Sans MT"/>
        </w:rPr>
      </w:pPr>
      <w:r>
        <w:rPr>
          <w:rFonts w:ascii="Gill Sans MT" w:hAnsi="Gill Sans MT"/>
        </w:rPr>
        <w:t xml:space="preserve">Article 10 : La Commission est chargée des missions suivantes : </w:t>
      </w:r>
    </w:p>
    <w:p>
      <w:pPr>
        <w:pStyle w:val="6"/>
        <w:spacing w:line="360" w:lineRule="auto"/>
        <w:jc w:val="both"/>
        <w:rPr>
          <w:rFonts w:ascii="Gill Sans MT" w:hAnsi="Gill Sans MT"/>
        </w:rPr>
      </w:pPr>
      <w:r>
        <w:rPr>
          <w:rFonts w:ascii="Gill Sans MT" w:hAnsi="Gill Sans MT"/>
        </w:rPr>
        <w:t xml:space="preserve">1. Elaboration et application du programme annuel des Œuvres sociales. </w:t>
      </w:r>
    </w:p>
    <w:p>
      <w:pPr>
        <w:pStyle w:val="6"/>
        <w:spacing w:line="360" w:lineRule="auto"/>
        <w:jc w:val="both"/>
        <w:rPr>
          <w:rFonts w:ascii="Gill Sans MT" w:hAnsi="Gill Sans MT"/>
        </w:rPr>
      </w:pPr>
      <w:r>
        <w:rPr>
          <w:rFonts w:ascii="Gill Sans MT" w:hAnsi="Gill Sans MT"/>
        </w:rPr>
        <w:t xml:space="preserve">2. La distribution de l'aide sociale, des prêts et d'autres aides selon le programme et les situations qui exigent une assistance. </w:t>
      </w:r>
    </w:p>
    <w:p>
      <w:pPr>
        <w:pStyle w:val="6"/>
        <w:spacing w:line="360" w:lineRule="auto"/>
        <w:jc w:val="both"/>
        <w:rPr>
          <w:rFonts w:ascii="Gill Sans MT" w:hAnsi="Gill Sans MT"/>
        </w:rPr>
      </w:pPr>
      <w:r>
        <w:rPr>
          <w:rFonts w:ascii="Gill Sans MT" w:hAnsi="Gill Sans MT"/>
        </w:rPr>
        <w:t xml:space="preserve">3. Proposer un projet visant à améliorer la situation sociale et professionnelle  des travailleurs. </w:t>
      </w:r>
    </w:p>
    <w:p>
      <w:pPr>
        <w:pStyle w:val="6"/>
        <w:spacing w:line="360" w:lineRule="auto"/>
        <w:jc w:val="both"/>
        <w:rPr>
          <w:rFonts w:ascii="Gill Sans MT" w:hAnsi="Gill Sans MT"/>
        </w:rPr>
      </w:pPr>
      <w:r>
        <w:rPr>
          <w:rFonts w:ascii="Gill Sans MT" w:hAnsi="Gill Sans MT"/>
        </w:rPr>
        <w:t xml:space="preserve">4. L'application et le respect de la réglementation générale. </w:t>
      </w:r>
    </w:p>
    <w:p>
      <w:pPr>
        <w:pStyle w:val="6"/>
        <w:spacing w:line="360" w:lineRule="auto"/>
        <w:jc w:val="both"/>
        <w:rPr>
          <w:rFonts w:ascii="Gill Sans MT" w:hAnsi="Gill Sans MT"/>
        </w:rPr>
      </w:pPr>
      <w:r>
        <w:rPr>
          <w:rFonts w:ascii="Gill Sans MT" w:hAnsi="Gill Sans MT"/>
        </w:rPr>
        <w:t xml:space="preserve">5. Assure l’équité et la transparence dans le traitement des dossiers des travailleurs </w:t>
      </w:r>
    </w:p>
    <w:p>
      <w:pPr>
        <w:pStyle w:val="6"/>
        <w:spacing w:line="360" w:lineRule="auto"/>
        <w:jc w:val="both"/>
        <w:rPr>
          <w:rFonts w:ascii="Gill Sans MT" w:hAnsi="Gill Sans MT"/>
        </w:rPr>
      </w:pPr>
      <w:r>
        <w:rPr>
          <w:rFonts w:ascii="Gill Sans MT" w:hAnsi="Gill Sans MT"/>
        </w:rPr>
        <w:t xml:space="preserve">6. Présentation des résultats de l'activité annuel aux sections syndicales, l'Assemblée générale, l’organisme employeur. </w:t>
      </w:r>
    </w:p>
    <w:p>
      <w:pPr>
        <w:pStyle w:val="6"/>
        <w:spacing w:line="360" w:lineRule="auto"/>
        <w:jc w:val="both"/>
        <w:rPr>
          <w:rFonts w:ascii="Gill Sans MT" w:hAnsi="Gill Sans MT"/>
        </w:rPr>
      </w:pPr>
      <w:r>
        <w:rPr>
          <w:rFonts w:ascii="Gill Sans MT" w:hAnsi="Gill Sans MT"/>
        </w:rPr>
        <w:t xml:space="preserve">7. Les comptes rendus de ses réunions et de ses délibérations aux sections syndicales de l'institution et une large diffusion. </w:t>
      </w:r>
    </w:p>
    <w:p>
      <w:pPr>
        <w:pStyle w:val="6"/>
        <w:spacing w:line="360" w:lineRule="auto"/>
        <w:jc w:val="both"/>
        <w:rPr>
          <w:rFonts w:ascii="Gill Sans MT" w:hAnsi="Gill Sans MT"/>
        </w:rPr>
      </w:pPr>
      <w:r>
        <w:rPr>
          <w:rFonts w:ascii="Gill Sans MT" w:hAnsi="Gill Sans MT"/>
        </w:rPr>
        <w:t xml:space="preserve">8. La Commission peut faire appel à toute personne ayant des compétences dans le domaine des œuvres sociales. </w:t>
      </w:r>
    </w:p>
    <w:p>
      <w:pPr>
        <w:pStyle w:val="6"/>
        <w:spacing w:line="360" w:lineRule="auto"/>
        <w:ind w:firstLine="708"/>
        <w:jc w:val="both"/>
        <w:rPr>
          <w:rFonts w:ascii="Gill Sans MT" w:hAnsi="Gill Sans MT"/>
        </w:rPr>
      </w:pPr>
      <w:r>
        <w:rPr>
          <w:rFonts w:ascii="Gill Sans MT" w:hAnsi="Gill Sans MT"/>
        </w:rPr>
        <w:t xml:space="preserve">Article 11 : La Commission se réunit une fois par mois obligatoirement sur l'invitation de son président, il peut se réunir à titre exceptionnel sur l'invitation de son Président ou un tiers de ses membres, à chaque fois que la nécessitée est nécessaire. </w:t>
      </w:r>
    </w:p>
    <w:p>
      <w:pPr>
        <w:pStyle w:val="6"/>
        <w:spacing w:line="360" w:lineRule="auto"/>
        <w:ind w:firstLine="708"/>
        <w:jc w:val="both"/>
        <w:rPr>
          <w:rFonts w:ascii="Gill Sans MT" w:hAnsi="Gill Sans MT"/>
        </w:rPr>
      </w:pPr>
      <w:r>
        <w:rPr>
          <w:rFonts w:ascii="Gill Sans MT" w:hAnsi="Gill Sans MT"/>
        </w:rPr>
        <w:t xml:space="preserve">Article 12: la présence de tous  membres dans les réunions et les délibérations est obligatoire </w:t>
      </w:r>
    </w:p>
    <w:p>
      <w:pPr>
        <w:pStyle w:val="6"/>
        <w:spacing w:line="360" w:lineRule="auto"/>
        <w:ind w:firstLine="708"/>
        <w:jc w:val="both"/>
        <w:rPr>
          <w:rFonts w:ascii="Gill Sans MT" w:hAnsi="Gill Sans MT"/>
        </w:rPr>
      </w:pPr>
      <w:r>
        <w:rPr>
          <w:rFonts w:ascii="Gill Sans MT" w:hAnsi="Gill Sans MT"/>
        </w:rPr>
        <w:t xml:space="preserve">Article 13 : La validité des délibérations est conditionnée par la majorité, en l'absence du quorum, l'audience sera ajournée et se réunira huit jours (8) après, en délibérants quel que soit le nombre de participants. </w:t>
      </w:r>
    </w:p>
    <w:p>
      <w:pPr>
        <w:pStyle w:val="6"/>
        <w:spacing w:line="360" w:lineRule="auto"/>
        <w:ind w:firstLine="708"/>
        <w:jc w:val="both"/>
        <w:rPr>
          <w:rFonts w:ascii="Gill Sans MT" w:hAnsi="Gill Sans MT"/>
        </w:rPr>
      </w:pPr>
      <w:r>
        <w:rPr>
          <w:rFonts w:ascii="Gill Sans MT" w:hAnsi="Gill Sans MT"/>
        </w:rPr>
        <w:t xml:space="preserve">Article 14 : La Commission transforme tous les conflits persistants à l'Assemblée générale des travailleurs. </w:t>
      </w:r>
    </w:p>
    <w:p>
      <w:pPr>
        <w:pStyle w:val="6"/>
        <w:spacing w:line="360" w:lineRule="auto"/>
        <w:ind w:firstLine="708"/>
        <w:jc w:val="both"/>
        <w:rPr>
          <w:rFonts w:ascii="Gill Sans MT" w:hAnsi="Gill Sans MT"/>
        </w:rPr>
      </w:pPr>
      <w:r>
        <w:rPr>
          <w:rFonts w:ascii="Gill Sans MT" w:hAnsi="Gill Sans MT"/>
        </w:rPr>
        <w:t xml:space="preserve">Article 15 : Tous membres absents à trois réunions consécutives de la Commission, il est remplacé automatiquement par un membre suppléant </w:t>
      </w:r>
    </w:p>
    <w:p>
      <w:pPr>
        <w:pStyle w:val="6"/>
        <w:spacing w:line="360" w:lineRule="auto"/>
        <w:ind w:firstLine="708"/>
        <w:jc w:val="both"/>
        <w:rPr>
          <w:rFonts w:ascii="Gill Sans MT" w:hAnsi="Gill Sans MT"/>
        </w:rPr>
      </w:pPr>
      <w:r>
        <w:rPr>
          <w:rFonts w:ascii="Gill Sans MT" w:hAnsi="Gill Sans MT"/>
        </w:rPr>
        <w:t>Article 16 : Dans le cas de séparation, de démission, d'abandon ou du décès d'un des membres de la Commission il sera remplacé directement par l’un des membres suppléant.</w:t>
      </w:r>
    </w:p>
    <w:p>
      <w:pPr>
        <w:pStyle w:val="6"/>
        <w:spacing w:line="360" w:lineRule="auto"/>
        <w:ind w:firstLine="708"/>
        <w:jc w:val="both"/>
        <w:rPr>
          <w:rFonts w:hint="default" w:ascii="Gill Sans MT" w:hAnsi="Gill Sans MT"/>
          <w:lang w:val="fr-FR"/>
        </w:rPr>
      </w:pPr>
      <w:r>
        <w:rPr>
          <w:rFonts w:ascii="Gill Sans MT" w:hAnsi="Gill Sans MT"/>
        </w:rPr>
        <w:t>Article 17 : L’adoption et l’application de la Commission de son programme authentifi</w:t>
      </w:r>
      <w:r>
        <w:rPr>
          <w:rFonts w:hint="default" w:ascii="Gill Sans MT" w:hAnsi="Gill Sans MT"/>
          <w:lang w:val="fr-FR"/>
        </w:rPr>
        <w:t>é</w:t>
      </w:r>
      <w:r>
        <w:rPr>
          <w:rFonts w:ascii="Gill Sans MT" w:hAnsi="Gill Sans MT"/>
        </w:rPr>
        <w:t xml:space="preserve"> par l'Assemblée générale, conformément aux dispositions réglementaires en vigueur</w:t>
      </w:r>
      <w:r>
        <w:rPr>
          <w:rFonts w:hint="default" w:ascii="Gill Sans MT" w:hAnsi="Gill Sans MT"/>
          <w:lang w:val="fr-FR"/>
        </w:rPr>
        <w:t>.</w:t>
      </w:r>
    </w:p>
    <w:p>
      <w:pPr>
        <w:pStyle w:val="6"/>
        <w:spacing w:line="360" w:lineRule="auto"/>
        <w:ind w:firstLine="708"/>
        <w:jc w:val="both"/>
        <w:rPr>
          <w:rFonts w:ascii="Gill Sans MT" w:hAnsi="Gill Sans MT"/>
        </w:rPr>
      </w:pPr>
      <w:r>
        <w:rPr>
          <w:rFonts w:ascii="Gill Sans MT" w:hAnsi="Gill Sans MT"/>
        </w:rPr>
        <w:t>Article 18 : Aucun syndicat ne peut intervenir dans les termes de référence d</w:t>
      </w:r>
      <w:r>
        <w:rPr>
          <w:rFonts w:hint="default" w:ascii="Gill Sans MT" w:hAnsi="Gill Sans MT"/>
          <w:lang w:val="fr-FR"/>
        </w:rPr>
        <w:t>e la</w:t>
      </w:r>
      <w:r>
        <w:rPr>
          <w:rFonts w:ascii="Gill Sans MT" w:hAnsi="Gill Sans MT"/>
        </w:rPr>
        <w:t xml:space="preserve"> </w:t>
      </w:r>
      <w:r>
        <w:rPr>
          <w:rFonts w:hint="default" w:ascii="Gill Sans MT" w:hAnsi="Gill Sans MT"/>
          <w:lang w:val="fr-FR"/>
        </w:rPr>
        <w:t>commission</w:t>
      </w:r>
      <w:r>
        <w:rPr>
          <w:rFonts w:ascii="Gill Sans MT" w:hAnsi="Gill Sans MT"/>
        </w:rPr>
        <w:t xml:space="preserve"> ou de remplacer la Commission des œuvres sociales. Et il peut exercer un contrôle et de donner son avis dans le cadre de la coordination et la consultation des travaux des réunions périodiques. </w:t>
      </w:r>
    </w:p>
    <w:p>
      <w:pPr>
        <w:pStyle w:val="6"/>
        <w:spacing w:line="360" w:lineRule="auto"/>
        <w:ind w:firstLine="708"/>
        <w:jc w:val="both"/>
        <w:rPr>
          <w:rFonts w:ascii="Gill Sans MT" w:hAnsi="Gill Sans MT"/>
        </w:rPr>
      </w:pPr>
      <w:r>
        <w:rPr>
          <w:rFonts w:ascii="Gill Sans MT" w:hAnsi="Gill Sans MT"/>
        </w:rPr>
        <w:t xml:space="preserve">Article 19 : Les syndicats ont le droit d'alerte et de contrôlé les travaux de la Commission. </w:t>
      </w:r>
    </w:p>
    <w:p>
      <w:pPr>
        <w:pStyle w:val="6"/>
        <w:spacing w:line="360" w:lineRule="auto"/>
        <w:ind w:firstLine="708"/>
        <w:jc w:val="both"/>
        <w:rPr>
          <w:rFonts w:ascii="Gill Sans MT" w:hAnsi="Gill Sans MT"/>
        </w:rPr>
      </w:pPr>
      <w:r>
        <w:rPr>
          <w:rFonts w:ascii="Gill Sans MT" w:hAnsi="Gill Sans MT"/>
        </w:rPr>
        <w:t>Article 20 : Les relations d</w:t>
      </w:r>
      <w:r>
        <w:rPr>
          <w:rFonts w:hint="default" w:ascii="Gill Sans MT" w:hAnsi="Gill Sans MT"/>
          <w:lang w:val="fr-FR"/>
        </w:rPr>
        <w:t>e la commssion</w:t>
      </w:r>
      <w:bookmarkStart w:id="0" w:name="_GoBack"/>
      <w:bookmarkEnd w:id="0"/>
      <w:r>
        <w:rPr>
          <w:rFonts w:ascii="Gill Sans MT" w:hAnsi="Gill Sans MT"/>
        </w:rPr>
        <w:t xml:space="preserve"> avec la Direction et ces services est représentatif liées à la mise a disposition de la Commission de moyens humains, matériels et toutes les conditions nécessaires. Conformément à la loi afin de lui permettre d'exercer ses fonctions au mieux. </w:t>
      </w:r>
    </w:p>
    <w:p>
      <w:pPr>
        <w:pStyle w:val="6"/>
        <w:spacing w:line="360" w:lineRule="auto"/>
        <w:ind w:firstLine="708"/>
        <w:jc w:val="both"/>
        <w:rPr>
          <w:rFonts w:ascii="Gill Sans MT" w:hAnsi="Gill Sans MT"/>
        </w:rPr>
      </w:pPr>
      <w:r>
        <w:rPr>
          <w:rFonts w:ascii="Gill Sans MT" w:hAnsi="Gill Sans MT"/>
        </w:rPr>
        <w:t xml:space="preserve">Article 21: La nomination de la structure de gestion est mandatée par l'administration. </w:t>
      </w:r>
    </w:p>
    <w:p>
      <w:pPr>
        <w:pStyle w:val="6"/>
        <w:spacing w:line="360" w:lineRule="auto"/>
        <w:ind w:firstLine="708"/>
        <w:jc w:val="both"/>
        <w:rPr>
          <w:rFonts w:ascii="Gill Sans MT" w:hAnsi="Gill Sans MT"/>
        </w:rPr>
      </w:pPr>
      <w:r>
        <w:rPr>
          <w:rFonts w:ascii="Gill Sans MT" w:hAnsi="Gill Sans MT"/>
        </w:rPr>
        <w:t xml:space="preserve">Article 22 : La structure de gestion applique les délibérations et décisions de la Commission des œuvres sociales, et de faire le bilan financier conformément à la loi. </w:t>
      </w:r>
    </w:p>
    <w:p>
      <w:pPr>
        <w:pStyle w:val="6"/>
        <w:spacing w:line="360" w:lineRule="auto"/>
        <w:ind w:firstLine="708"/>
        <w:jc w:val="both"/>
        <w:rPr>
          <w:rFonts w:ascii="Gill Sans MT" w:hAnsi="Gill Sans MT"/>
        </w:rPr>
      </w:pPr>
      <w:r>
        <w:rPr>
          <w:rFonts w:ascii="Gill Sans MT" w:hAnsi="Gill Sans MT"/>
        </w:rPr>
        <w:t xml:space="preserve">Article 23 : La structure de gestion est sensée adopter et d'enregistrer toutes les opérations financières spécifiques de la Commission des œuvres sociales. </w:t>
      </w:r>
    </w:p>
    <w:p>
      <w:pPr>
        <w:pStyle w:val="6"/>
        <w:spacing w:line="360" w:lineRule="auto"/>
        <w:ind w:firstLine="708"/>
        <w:jc w:val="both"/>
        <w:rPr>
          <w:rFonts w:ascii="Gill Sans MT" w:hAnsi="Gill Sans MT"/>
        </w:rPr>
      </w:pPr>
      <w:r>
        <w:rPr>
          <w:rFonts w:ascii="Gill Sans MT" w:hAnsi="Gill Sans MT"/>
        </w:rPr>
        <w:t>Article 2</w:t>
      </w:r>
      <w:r>
        <w:rPr>
          <w:rFonts w:hint="default" w:ascii="Gill Sans MT" w:hAnsi="Gill Sans MT"/>
          <w:lang w:val="fr-FR"/>
        </w:rPr>
        <w:t>4</w:t>
      </w:r>
      <w:r>
        <w:rPr>
          <w:rFonts w:ascii="Gill Sans MT" w:hAnsi="Gill Sans MT"/>
        </w:rPr>
        <w:t xml:space="preserve">: La Commission des œuvres sociales contrôle tous les documents concernant les opérations financières. </w:t>
      </w:r>
    </w:p>
    <w:p>
      <w:pPr>
        <w:pStyle w:val="6"/>
        <w:spacing w:line="360" w:lineRule="auto"/>
        <w:ind w:firstLine="708"/>
        <w:jc w:val="both"/>
        <w:rPr>
          <w:rFonts w:ascii="Gill Sans MT" w:hAnsi="Gill Sans MT"/>
        </w:rPr>
      </w:pPr>
      <w:r>
        <w:rPr>
          <w:rFonts w:ascii="Gill Sans MT" w:hAnsi="Gill Sans MT"/>
        </w:rPr>
        <w:t>Article 2</w:t>
      </w:r>
      <w:r>
        <w:rPr>
          <w:rFonts w:hint="default" w:ascii="Gill Sans MT" w:hAnsi="Gill Sans MT"/>
          <w:lang w:val="fr-FR"/>
        </w:rPr>
        <w:t>5</w:t>
      </w:r>
      <w:r>
        <w:rPr>
          <w:rFonts w:ascii="Gill Sans MT" w:hAnsi="Gill Sans MT"/>
        </w:rPr>
        <w:t xml:space="preserve"> : Aucune personne n’est autorisée à échanger un montant quelle que soit sa valeur, ou la livraison d’un chèque ou de payer une facture, uniquement par l'autorisation officielle de paiement signé par le Président de la Commission ou de délégation de pouvoirs du Vice-Président de la commission avec le délégué de la structure de gestion. </w:t>
      </w:r>
    </w:p>
    <w:p>
      <w:pPr>
        <w:pStyle w:val="6"/>
        <w:spacing w:line="360" w:lineRule="auto"/>
        <w:ind w:firstLine="708"/>
        <w:jc w:val="both"/>
        <w:rPr>
          <w:rFonts w:ascii="Gill Sans MT" w:hAnsi="Gill Sans MT"/>
        </w:rPr>
      </w:pPr>
      <w:r>
        <w:rPr>
          <w:rFonts w:ascii="Gill Sans MT" w:hAnsi="Gill Sans MT"/>
        </w:rPr>
        <w:t>Article 2</w:t>
      </w:r>
      <w:r>
        <w:rPr>
          <w:rFonts w:hint="default" w:ascii="Gill Sans MT" w:hAnsi="Gill Sans MT"/>
          <w:lang w:val="fr-FR"/>
        </w:rPr>
        <w:t>6</w:t>
      </w:r>
      <w:r>
        <w:rPr>
          <w:rFonts w:ascii="Gill Sans MT" w:hAnsi="Gill Sans MT"/>
        </w:rPr>
        <w:t xml:space="preserve"> : La gestion financière des œuvres sociales est soumise à des contrôles généraux prévus par la loi. </w:t>
      </w:r>
    </w:p>
    <w:p>
      <w:pPr>
        <w:spacing w:line="360" w:lineRule="auto"/>
        <w:ind w:firstLine="708"/>
        <w:jc w:val="both"/>
        <w:rPr>
          <w:rFonts w:ascii="Gill Sans MT" w:hAnsi="Gill Sans MT"/>
          <w:sz w:val="24"/>
          <w:szCs w:val="24"/>
        </w:rPr>
      </w:pPr>
      <w:r>
        <w:rPr>
          <w:rFonts w:ascii="Gill Sans MT" w:hAnsi="Gill Sans MT"/>
          <w:sz w:val="24"/>
          <w:szCs w:val="24"/>
        </w:rPr>
        <w:t>Article 2</w:t>
      </w:r>
      <w:r>
        <w:rPr>
          <w:rFonts w:hint="default" w:ascii="Gill Sans MT" w:hAnsi="Gill Sans MT"/>
          <w:sz w:val="24"/>
          <w:szCs w:val="24"/>
          <w:lang w:val="fr-FR"/>
        </w:rPr>
        <w:t>7</w:t>
      </w:r>
      <w:r>
        <w:rPr>
          <w:rFonts w:ascii="Gill Sans MT" w:hAnsi="Gill Sans MT"/>
          <w:sz w:val="24"/>
          <w:szCs w:val="24"/>
        </w:rPr>
        <w:t> : Les Membres de la Commission des Œuvres Sociales et la structure de Gestion doivent se restreindre au contenu de ce règlement, qui contient 2</w:t>
      </w:r>
      <w:r>
        <w:rPr>
          <w:rFonts w:hint="default" w:ascii="Gill Sans MT" w:hAnsi="Gill Sans MT"/>
          <w:sz w:val="24"/>
          <w:szCs w:val="24"/>
          <w:lang w:val="fr-FR"/>
        </w:rPr>
        <w:t>7</w:t>
      </w:r>
      <w:r>
        <w:rPr>
          <w:rFonts w:ascii="Gill Sans MT" w:hAnsi="Gill Sans MT"/>
          <w:sz w:val="24"/>
          <w:szCs w:val="24"/>
        </w:rPr>
        <w:t xml:space="preserve"> articles.</w:t>
      </w:r>
    </w:p>
    <w:p>
      <w:pPr>
        <w:pStyle w:val="6"/>
        <w:spacing w:line="360" w:lineRule="auto"/>
        <w:ind w:firstLine="708"/>
        <w:jc w:val="both"/>
        <w:rPr>
          <w:rFonts w:ascii="Gill Sans MT" w:hAnsi="Gill Sans MT"/>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Batang">
    <w:altName w:val="Malgun Gothic"/>
    <w:panose1 w:val="02030600000101010101"/>
    <w:charset w:val="81"/>
    <w:family w:val="auto"/>
    <w:pitch w:val="default"/>
    <w:sig w:usb0="00000000" w:usb1="00000000" w:usb2="00000010" w:usb3="00000000" w:csb0="00080000" w:csb1="00000000"/>
  </w:font>
  <w:font w:name="Andalus">
    <w:altName w:val="Times New Roman"/>
    <w:panose1 w:val="00000000000000000000"/>
    <w:charset w:val="00"/>
    <w:family w:val="roman"/>
    <w:pitch w:val="default"/>
    <w:sig w:usb0="00000000" w:usb1="00000000" w:usb2="00000008" w:usb3="00000000" w:csb0="00000041" w:csb1="00000000"/>
  </w:font>
  <w:font w:name="Gill Sans MT">
    <w:panose1 w:val="020B0502020104020203"/>
    <w:charset w:val="00"/>
    <w:family w:val="swiss"/>
    <w:pitch w:val="default"/>
    <w:sig w:usb0="00000003" w:usb1="00000000" w:usb2="00000000" w:usb3="00000000" w:csb0="2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C285E"/>
    <w:multiLevelType w:val="multilevel"/>
    <w:tmpl w:val="0CCC285E"/>
    <w:lvl w:ilvl="0" w:tentative="0">
      <w:start w:val="1"/>
      <w:numFmt w:val="decimal"/>
      <w:lvlText w:val="%1-"/>
      <w:lvlJc w:val="left"/>
      <w:pPr>
        <w:ind w:left="1068" w:hanging="360"/>
      </w:pPr>
      <w:rPr>
        <w:rFonts w:hint="default"/>
      </w:r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862"/>
    <w:rsid w:val="001E6862"/>
    <w:rsid w:val="00346CE1"/>
    <w:rsid w:val="00656CB0"/>
    <w:rsid w:val="00687D0F"/>
    <w:rsid w:val="007F5D25"/>
    <w:rsid w:val="00874151"/>
    <w:rsid w:val="00B03864"/>
    <w:rsid w:val="00FE4B60"/>
    <w:rsid w:val="01985021"/>
    <w:rsid w:val="1E1C4E9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qFormat="1" w:uiPriority="99" w:name="Balloon Text"/>
    <w:lsdException w:unhideWhenUsed="0" w:uiPriority="59" w:semiHidden="0" w:name="Table Grid"/>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Balloon Text"/>
    <w:basedOn w:val="1"/>
    <w:link w:val="5"/>
    <w:semiHidden/>
    <w:unhideWhenUsed/>
    <w:qFormat/>
    <w:uiPriority w:val="99"/>
    <w:pPr>
      <w:spacing w:after="0" w:line="240" w:lineRule="auto"/>
    </w:pPr>
    <w:rPr>
      <w:rFonts w:ascii="Tahoma" w:hAnsi="Tahoma" w:cs="Tahoma"/>
      <w:sz w:val="16"/>
      <w:szCs w:val="16"/>
    </w:rPr>
  </w:style>
  <w:style w:type="character" w:customStyle="1" w:styleId="5">
    <w:name w:val="Texte de bulles Car"/>
    <w:basedOn w:val="2"/>
    <w:link w:val="3"/>
    <w:semiHidden/>
    <w:uiPriority w:val="99"/>
    <w:rPr>
      <w:rFonts w:ascii="Tahoma" w:hAnsi="Tahoma" w:cs="Tahoma"/>
      <w:sz w:val="16"/>
      <w:szCs w:val="16"/>
    </w:rPr>
  </w:style>
  <w:style w:type="paragraph" w:customStyle="1" w:styleId="6">
    <w:name w:val="Default"/>
    <w:qFormat/>
    <w:uiPriority w:val="0"/>
    <w:pPr>
      <w:autoSpaceDE w:val="0"/>
      <w:autoSpaceDN w:val="0"/>
      <w:adjustRightInd w:val="0"/>
      <w:spacing w:after="0" w:line="240" w:lineRule="auto"/>
    </w:pPr>
    <w:rPr>
      <w:rFonts w:ascii="Arial" w:hAnsi="Arial" w:cs="Arial" w:eastAsiaTheme="minorHAnsi"/>
      <w:color w:val="000000"/>
      <w:sz w:val="24"/>
      <w:szCs w:val="24"/>
      <w:lang w:val="fr-FR" w:eastAsia="en-US" w:bidi="ar-SA"/>
    </w:rPr>
  </w:style>
  <w:style w:type="paragraph" w:styleId="7">
    <w:name w:val="List Paragraph"/>
    <w:basedOn w:val="1"/>
    <w:qFormat/>
    <w:uiPriority w:val="34"/>
    <w:pPr>
      <w:ind w:left="720"/>
      <w:contextualSpacing/>
    </w:pPr>
  </w:style>
  <w:style w:type="table" w:styleId="8">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1013</Words>
  <Characters>5577</Characters>
  <Lines>46</Lines>
  <Paragraphs>13</Paragraphs>
  <TotalTime>56</TotalTime>
  <ScaleCrop>false</ScaleCrop>
  <LinksUpToDate>false</LinksUpToDate>
  <CharactersWithSpaces>6577</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2023-05-12T17:55:00Z</dcterms:created>
  <dc:creator>Merzouk</dc:creator>
  <cp:lastModifiedBy>Merzouk</cp:lastModifiedBy>
  <cp:lastPrinted>2024-02-07T20:57:32Z</cp:lastPrinted>
  <dcterms:modified xsi:type="dcterms:W3CDTF">2024-02-07T20:57:44Z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1036-12.2.0.13431</vt:lpwstr>
  </property>
  <property fmtid="{D5CDD505-2E9C-101B-9397-08002B2CF9AE}" pid="3" name="ICV">
    <vt:lpwstr>BF136BD03ABA4356B5C1FA2FBC379FCE_12</vt:lpwstr>
  </property>
</Properties>
</file>