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CE" w:rsidRDefault="00F626EB" w:rsidP="00EA6823">
      <w:pPr>
        <w:spacing w:after="0" w:line="240" w:lineRule="auto"/>
        <w:jc w:val="center"/>
        <w:rPr>
          <w:b/>
          <w:bCs/>
          <w:sz w:val="32"/>
          <w:szCs w:val="32"/>
          <w:shd w:val="clear" w:color="auto" w:fill="FFFFFF"/>
        </w:rPr>
      </w:pPr>
      <w:r w:rsidRPr="00F626EB">
        <w:rPr>
          <w:b/>
          <w:bCs/>
          <w:i/>
          <w:iCs/>
          <w:sz w:val="28"/>
          <w:szCs w:val="28"/>
          <w:shd w:val="clear" w:color="auto" w:fill="FFFFFF"/>
        </w:rPr>
        <w:t>UNIVERSITE  BELKAID  ABOU - BAKR - TLEMCEN</w:t>
      </w:r>
      <w:r w:rsidRPr="00F626EB">
        <w:rPr>
          <w:b/>
          <w:bCs/>
          <w:i/>
          <w:iCs/>
          <w:sz w:val="28"/>
          <w:szCs w:val="28"/>
        </w:rPr>
        <w:br/>
      </w:r>
      <w:r>
        <w:br/>
      </w:r>
      <w:r>
        <w:rPr>
          <w:shd w:val="clear" w:color="auto" w:fill="FFFFFF"/>
        </w:rPr>
        <w:t>___________</w:t>
      </w:r>
      <w:r>
        <w:br/>
      </w:r>
      <w:r>
        <w:br/>
      </w:r>
      <w:r>
        <w:rPr>
          <w:shd w:val="clear" w:color="auto" w:fill="FFFFFF"/>
        </w:rPr>
        <w:t> 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br/>
      </w:r>
      <w:r w:rsidRPr="00F626EB">
        <w:rPr>
          <w:b/>
          <w:bCs/>
          <w:shd w:val="clear" w:color="auto" w:fill="FFFFFF"/>
        </w:rPr>
        <w:t>MAISON  DES  SCIENCES  DE  L'HOMME</w:t>
      </w:r>
      <w:r w:rsidRPr="00F626EB">
        <w:rPr>
          <w:b/>
          <w:bCs/>
        </w:rPr>
        <w:br/>
      </w:r>
      <w:r>
        <w:rPr>
          <w:shd w:val="clear" w:color="auto" w:fill="FFFFFF"/>
        </w:rPr>
        <w:t>______</w:t>
      </w:r>
      <w:r>
        <w:br/>
      </w:r>
      <w:bookmarkStart w:id="0" w:name="_GoBack"/>
      <w:bookmarkEnd w:id="0"/>
      <w:r>
        <w:br/>
      </w:r>
      <w:r w:rsidRPr="00F626EB">
        <w:rPr>
          <w:b/>
          <w:bCs/>
          <w:shd w:val="clear" w:color="auto" w:fill="FFFFFF"/>
        </w:rPr>
        <w:t>LABORATOIRE D'ANTHROPOLOGIE  COGNITIVE</w:t>
      </w:r>
      <w:r w:rsidRPr="00F626EB">
        <w:rPr>
          <w:b/>
          <w:bCs/>
        </w:rPr>
        <w:br/>
      </w:r>
      <w:r>
        <w:rPr>
          <w:shd w:val="clear" w:color="auto" w:fill="FFFFFF"/>
        </w:rPr>
        <w:t>                       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       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                                                                   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*</w:t>
      </w:r>
      <w:r>
        <w:br/>
      </w:r>
      <w:r>
        <w:rPr>
          <w:shd w:val="clear" w:color="auto" w:fill="FFFFFF"/>
        </w:rPr>
        <w:t>*        *</w:t>
      </w:r>
      <w:r>
        <w:br/>
      </w:r>
      <w:r>
        <w:rPr>
          <w:shd w:val="clear" w:color="auto" w:fill="FFFFFF"/>
        </w:rPr>
        <w:t>     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br/>
      </w:r>
      <w:r>
        <w:br/>
      </w:r>
      <w:r>
        <w:rPr>
          <w:shd w:val="clear" w:color="auto" w:fill="FFFFFF"/>
        </w:rPr>
        <w:t>     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br/>
      </w:r>
      <w:r w:rsidRPr="00EA6823">
        <w:rPr>
          <w:b/>
          <w:bCs/>
          <w:sz w:val="32"/>
          <w:szCs w:val="32"/>
          <w:shd w:val="clear" w:color="auto" w:fill="FFFFFF"/>
        </w:rPr>
        <w:t>UNIVERSITE POPULAIRE " TOUS AGES "</w:t>
      </w:r>
      <w:r w:rsidRPr="00EA6823">
        <w:rPr>
          <w:b/>
          <w:bCs/>
          <w:sz w:val="32"/>
          <w:szCs w:val="32"/>
        </w:rPr>
        <w:br/>
      </w:r>
      <w:r w:rsidRPr="00EA6823">
        <w:rPr>
          <w:b/>
          <w:bCs/>
          <w:sz w:val="32"/>
          <w:szCs w:val="32"/>
        </w:rPr>
        <w:br/>
      </w:r>
      <w:r w:rsidRPr="00EA6823">
        <w:rPr>
          <w:b/>
          <w:bCs/>
          <w:sz w:val="32"/>
          <w:szCs w:val="32"/>
        </w:rPr>
        <w:br/>
      </w:r>
      <w:r w:rsidRPr="00EA6823">
        <w:rPr>
          <w:b/>
          <w:bCs/>
          <w:sz w:val="32"/>
          <w:szCs w:val="32"/>
          <w:shd w:val="clear" w:color="auto" w:fill="FFFFFF"/>
        </w:rPr>
        <w:t>CONFERENCES  INTERDISCIPLINAIRES</w:t>
      </w:r>
      <w:r w:rsidR="009F4CCE">
        <w:rPr>
          <w:b/>
          <w:bCs/>
          <w:sz w:val="32"/>
          <w:szCs w:val="32"/>
          <w:shd w:val="clear" w:color="auto" w:fill="FFFFFF"/>
        </w:rPr>
        <w:t xml:space="preserve"> </w:t>
      </w:r>
    </w:p>
    <w:p w:rsidR="00F626EB" w:rsidRDefault="009F4CCE" w:rsidP="00EA6823">
      <w:pPr>
        <w:spacing w:after="0" w:line="240" w:lineRule="auto"/>
        <w:jc w:val="center"/>
        <w:rPr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EN ANTHROPOLOGIE COGNITIVE</w:t>
      </w:r>
      <w:r w:rsidR="00F626EB" w:rsidRPr="00EA6823">
        <w:rPr>
          <w:b/>
          <w:bCs/>
          <w:sz w:val="32"/>
          <w:szCs w:val="32"/>
        </w:rPr>
        <w:br/>
      </w:r>
      <w:r w:rsidR="00F626EB" w:rsidRPr="00EA6823">
        <w:rPr>
          <w:b/>
          <w:bCs/>
          <w:sz w:val="32"/>
          <w:szCs w:val="32"/>
        </w:rPr>
        <w:br/>
      </w:r>
      <w:proofErr w:type="spellStart"/>
      <w:r w:rsidR="00F626EB" w:rsidRPr="00EA6823">
        <w:rPr>
          <w:b/>
          <w:bCs/>
          <w:sz w:val="32"/>
          <w:szCs w:val="32"/>
          <w:shd w:val="clear" w:color="auto" w:fill="FFFFFF"/>
        </w:rPr>
        <w:t>Animėes</w:t>
      </w:r>
      <w:proofErr w:type="spellEnd"/>
      <w:r w:rsidR="00F626EB" w:rsidRPr="00EA6823">
        <w:rPr>
          <w:b/>
          <w:bCs/>
          <w:sz w:val="32"/>
          <w:szCs w:val="32"/>
          <w:shd w:val="clear" w:color="auto" w:fill="FFFFFF"/>
        </w:rPr>
        <w:t xml:space="preserve"> par Nadir </w:t>
      </w:r>
      <w:proofErr w:type="spellStart"/>
      <w:r w:rsidR="00F626EB" w:rsidRPr="00EA6823">
        <w:rPr>
          <w:b/>
          <w:bCs/>
          <w:sz w:val="32"/>
          <w:szCs w:val="32"/>
          <w:shd w:val="clear" w:color="auto" w:fill="FFFFFF"/>
        </w:rPr>
        <w:t>Marouf</w:t>
      </w:r>
      <w:proofErr w:type="spellEnd"/>
      <w:r w:rsidR="00F626EB" w:rsidRPr="00EA6823">
        <w:rPr>
          <w:b/>
          <w:bCs/>
          <w:sz w:val="32"/>
          <w:szCs w:val="32"/>
        </w:rPr>
        <w:br/>
      </w:r>
      <w:r w:rsidR="00F626EB" w:rsidRPr="00F626EB">
        <w:rPr>
          <w:sz w:val="32"/>
          <w:szCs w:val="32"/>
        </w:rPr>
        <w:br/>
      </w:r>
      <w:r w:rsidR="00F626EB" w:rsidRPr="00F626EB">
        <w:rPr>
          <w:sz w:val="32"/>
          <w:szCs w:val="32"/>
          <w:shd w:val="clear" w:color="auto" w:fill="FFFFFF"/>
        </w:rPr>
        <w:t>Professeur Émérite en anthropologie juridique</w:t>
      </w:r>
      <w:r w:rsidR="00F626EB" w:rsidRPr="00F626EB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="00F626EB" w:rsidRPr="00F626EB">
        <w:rPr>
          <w:sz w:val="32"/>
          <w:szCs w:val="32"/>
        </w:rPr>
        <w:br/>
      </w:r>
      <w:r w:rsidR="00F626EB" w:rsidRPr="00F626EB">
        <w:rPr>
          <w:sz w:val="32"/>
          <w:szCs w:val="32"/>
        </w:rPr>
        <w:br/>
      </w:r>
      <w:r w:rsidR="00F626EB" w:rsidRPr="00F626EB">
        <w:rPr>
          <w:sz w:val="32"/>
          <w:szCs w:val="32"/>
          <w:shd w:val="clear" w:color="auto" w:fill="FFFFFF"/>
        </w:rPr>
        <w:t>A</w:t>
      </w:r>
      <w:r w:rsidR="00F626EB" w:rsidRPr="00F626EB">
        <w:rPr>
          <w:sz w:val="32"/>
          <w:szCs w:val="32"/>
        </w:rPr>
        <w:br/>
      </w:r>
      <w:r w:rsidR="00F626EB" w:rsidRPr="00F626EB">
        <w:rPr>
          <w:sz w:val="32"/>
          <w:szCs w:val="32"/>
        </w:rPr>
        <w:br/>
      </w:r>
      <w:r w:rsidR="00F626EB" w:rsidRPr="00F626EB">
        <w:rPr>
          <w:sz w:val="32"/>
          <w:szCs w:val="32"/>
          <w:shd w:val="clear" w:color="auto" w:fill="FFFFFF"/>
        </w:rPr>
        <w:t xml:space="preserve">L'Auditorium </w:t>
      </w:r>
      <w:proofErr w:type="gramStart"/>
      <w:r w:rsidR="00F626EB" w:rsidRPr="00F626EB">
        <w:rPr>
          <w:sz w:val="32"/>
          <w:szCs w:val="32"/>
          <w:shd w:val="clear" w:color="auto" w:fill="FFFFFF"/>
        </w:rPr>
        <w:t>(  Faculté</w:t>
      </w:r>
      <w:proofErr w:type="gramEnd"/>
      <w:r w:rsidR="00F626EB" w:rsidRPr="00F626EB">
        <w:rPr>
          <w:sz w:val="32"/>
          <w:szCs w:val="32"/>
          <w:shd w:val="clear" w:color="auto" w:fill="FFFFFF"/>
        </w:rPr>
        <w:t>  de  Médecine )</w:t>
      </w:r>
      <w:r w:rsidR="00F626EB" w:rsidRPr="00F626EB">
        <w:rPr>
          <w:sz w:val="32"/>
          <w:szCs w:val="32"/>
        </w:rPr>
        <w:br/>
      </w:r>
      <w:r w:rsidR="00F626EB">
        <w:rPr>
          <w:shd w:val="clear" w:color="auto" w:fill="FFFFFF"/>
        </w:rPr>
        <w:t>         </w:t>
      </w:r>
      <w:r w:rsidR="00F626EB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F626EB">
        <w:br/>
      </w:r>
    </w:p>
    <w:p w:rsidR="00F626EB" w:rsidRDefault="00F626EB" w:rsidP="009F4CCE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</w:t>
      </w:r>
      <w:r>
        <w:br/>
      </w:r>
      <w:r>
        <w:br/>
      </w:r>
    </w:p>
    <w:p w:rsidR="00F626EB" w:rsidRDefault="00F626EB" w:rsidP="00F626EB">
      <w:pPr>
        <w:jc w:val="center"/>
        <w:rPr>
          <w:shd w:val="clear" w:color="auto" w:fill="FFFFFF"/>
        </w:rPr>
      </w:pPr>
    </w:p>
    <w:p w:rsidR="00914856" w:rsidRDefault="00F626EB" w:rsidP="00F626EB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F626EB">
        <w:rPr>
          <w:b/>
          <w:bCs/>
          <w:sz w:val="24"/>
          <w:szCs w:val="24"/>
          <w:shd w:val="clear" w:color="auto" w:fill="FFFFFF"/>
        </w:rPr>
        <w:t xml:space="preserve">PROGRAMME 2015 </w:t>
      </w:r>
      <w:r>
        <w:rPr>
          <w:b/>
          <w:bCs/>
          <w:sz w:val="24"/>
          <w:szCs w:val="24"/>
          <w:shd w:val="clear" w:color="auto" w:fill="FFFFFF"/>
        </w:rPr>
        <w:t>–</w:t>
      </w:r>
      <w:r w:rsidRPr="00F626EB">
        <w:rPr>
          <w:b/>
          <w:bCs/>
          <w:sz w:val="24"/>
          <w:szCs w:val="24"/>
          <w:shd w:val="clear" w:color="auto" w:fill="FFFFFF"/>
        </w:rPr>
        <w:t xml:space="preserve"> 2016</w:t>
      </w:r>
    </w:p>
    <w:p w:rsidR="00F626EB" w:rsidRPr="00F13357" w:rsidRDefault="00F626EB" w:rsidP="00D74F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br w:type="page"/>
      </w:r>
      <w:r w:rsidRPr="00F13357">
        <w:rPr>
          <w:b/>
          <w:bCs/>
          <w:sz w:val="24"/>
          <w:szCs w:val="24"/>
        </w:rPr>
        <w:lastRenderedPageBreak/>
        <w:t>Maison des Sciences de l’Homme</w:t>
      </w:r>
    </w:p>
    <w:p w:rsidR="00F626EB" w:rsidRPr="00F13357" w:rsidRDefault="00F626EB" w:rsidP="00F626EB">
      <w:pPr>
        <w:jc w:val="center"/>
        <w:rPr>
          <w:b/>
          <w:bCs/>
          <w:sz w:val="24"/>
          <w:szCs w:val="24"/>
        </w:rPr>
      </w:pPr>
    </w:p>
    <w:p w:rsidR="00F626EB" w:rsidRPr="00F13357" w:rsidRDefault="00F626EB" w:rsidP="00F626EB">
      <w:pPr>
        <w:jc w:val="center"/>
        <w:rPr>
          <w:b/>
          <w:bCs/>
          <w:sz w:val="24"/>
          <w:szCs w:val="24"/>
        </w:rPr>
      </w:pPr>
      <w:r w:rsidRPr="00F13357">
        <w:rPr>
          <w:b/>
          <w:bCs/>
          <w:sz w:val="24"/>
          <w:szCs w:val="24"/>
        </w:rPr>
        <w:t xml:space="preserve">Programme d’Enseignement du Professeur Nadir </w:t>
      </w:r>
      <w:proofErr w:type="spellStart"/>
      <w:r w:rsidRPr="00F13357">
        <w:rPr>
          <w:b/>
          <w:bCs/>
          <w:sz w:val="24"/>
          <w:szCs w:val="24"/>
        </w:rPr>
        <w:t>Marouf</w:t>
      </w:r>
      <w:proofErr w:type="spellEnd"/>
    </w:p>
    <w:p w:rsidR="00F626EB" w:rsidRPr="00F13357" w:rsidRDefault="00F626EB" w:rsidP="00F626EB">
      <w:pPr>
        <w:jc w:val="center"/>
        <w:rPr>
          <w:b/>
          <w:bCs/>
          <w:sz w:val="24"/>
          <w:szCs w:val="24"/>
        </w:rPr>
      </w:pPr>
      <w:r w:rsidRPr="00F13357">
        <w:rPr>
          <w:b/>
          <w:bCs/>
          <w:sz w:val="24"/>
          <w:szCs w:val="24"/>
        </w:rPr>
        <w:t>Année 2015 – 2016</w:t>
      </w:r>
    </w:p>
    <w:p w:rsidR="00F626EB" w:rsidRPr="00F13357" w:rsidRDefault="00F626EB" w:rsidP="00F626EB">
      <w:pPr>
        <w:jc w:val="center"/>
        <w:rPr>
          <w:b/>
          <w:bCs/>
          <w:sz w:val="24"/>
          <w:szCs w:val="24"/>
        </w:rPr>
      </w:pPr>
      <w:r w:rsidRPr="00F13357">
        <w:rPr>
          <w:b/>
          <w:bCs/>
          <w:sz w:val="24"/>
          <w:szCs w:val="24"/>
        </w:rPr>
        <w:t>Cours et séminaires interdisciplinaires</w:t>
      </w:r>
    </w:p>
    <w:p w:rsidR="00F626EB" w:rsidRPr="00F13357" w:rsidRDefault="00F626EB" w:rsidP="00F626EB">
      <w:pPr>
        <w:jc w:val="center"/>
        <w:rPr>
          <w:b/>
          <w:bCs/>
          <w:sz w:val="24"/>
          <w:szCs w:val="24"/>
        </w:rPr>
      </w:pPr>
    </w:p>
    <w:p w:rsidR="00F626EB" w:rsidRPr="00F13357" w:rsidRDefault="00F626EB" w:rsidP="00F626EB">
      <w:pPr>
        <w:rPr>
          <w:b/>
          <w:bCs/>
          <w:sz w:val="24"/>
          <w:szCs w:val="24"/>
        </w:rPr>
      </w:pPr>
      <w:r w:rsidRPr="00F13357">
        <w:rPr>
          <w:b/>
          <w:bCs/>
          <w:sz w:val="24"/>
          <w:szCs w:val="24"/>
        </w:rPr>
        <w:t>Note de présentation</w:t>
      </w:r>
    </w:p>
    <w:p w:rsidR="00F626EB" w:rsidRPr="00F13357" w:rsidRDefault="00F626EB" w:rsidP="00F626EB">
      <w:pPr>
        <w:rPr>
          <w:b/>
          <w:bCs/>
          <w:sz w:val="24"/>
          <w:szCs w:val="24"/>
        </w:rPr>
      </w:pPr>
    </w:p>
    <w:p w:rsidR="00F626EB" w:rsidRDefault="00F626EB" w:rsidP="00F323EB">
      <w:pPr>
        <w:jc w:val="both"/>
        <w:rPr>
          <w:b/>
          <w:bCs/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>Ce programme s'inscrit dans le cadre de l'avant</w:t>
      </w:r>
      <w:r w:rsidR="00F323EB">
        <w:rPr>
          <w:sz w:val="24"/>
          <w:szCs w:val="24"/>
          <w:lang w:eastAsia="fr-FR"/>
        </w:rPr>
        <w:t>-</w:t>
      </w:r>
      <w:r w:rsidRPr="00F13357">
        <w:rPr>
          <w:sz w:val="24"/>
          <w:szCs w:val="24"/>
          <w:lang w:eastAsia="fr-FR"/>
        </w:rPr>
        <w:t>projet de maquette de la maison des sciences de l'homme, qui est attachée à l'université de Tlemcen. L'un des pôles ou axes thématiques retenus s'intitule</w:t>
      </w:r>
      <w:r w:rsidRPr="00F13357">
        <w:rPr>
          <w:b/>
          <w:bCs/>
          <w:sz w:val="24"/>
          <w:szCs w:val="24"/>
          <w:lang w:eastAsia="fr-FR"/>
        </w:rPr>
        <w:t xml:space="preserve"> :"Université Populaire Tous Ages (UPTA) ".</w:t>
      </w:r>
    </w:p>
    <w:p w:rsidR="00F323EB" w:rsidRPr="00F323EB" w:rsidRDefault="00F323EB" w:rsidP="00F323EB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F323EB">
        <w:rPr>
          <w:sz w:val="24"/>
          <w:szCs w:val="24"/>
          <w:lang w:eastAsia="fr-FR"/>
        </w:rPr>
        <w:t>Le choix des problématiques est sous-tendu par le souci de ne pas se</w:t>
      </w:r>
      <w:r>
        <w:rPr>
          <w:sz w:val="24"/>
          <w:szCs w:val="24"/>
          <w:lang w:eastAsia="fr-FR"/>
        </w:rPr>
        <w:t xml:space="preserve"> laisser enfermer dans le micro</w:t>
      </w:r>
      <w:r w:rsidRPr="00F323EB">
        <w:rPr>
          <w:sz w:val="24"/>
          <w:szCs w:val="24"/>
          <w:lang w:eastAsia="fr-FR"/>
        </w:rPr>
        <w:t>cosm</w:t>
      </w:r>
      <w:r>
        <w:rPr>
          <w:sz w:val="24"/>
          <w:szCs w:val="24"/>
          <w:lang w:eastAsia="fr-FR"/>
        </w:rPr>
        <w:t>e</w:t>
      </w:r>
      <w:r w:rsidRPr="00F323EB">
        <w:rPr>
          <w:sz w:val="24"/>
          <w:szCs w:val="24"/>
          <w:lang w:eastAsia="fr-FR"/>
        </w:rPr>
        <w:t xml:space="preserve"> régional, voire autocentré. Il existe, dans les universités occidentales, des chaires dédiées à la civilisation musulmane</w:t>
      </w:r>
      <w:r>
        <w:rPr>
          <w:sz w:val="24"/>
          <w:szCs w:val="24"/>
          <w:lang w:eastAsia="fr-FR"/>
        </w:rPr>
        <w:t>.</w:t>
      </w:r>
      <w:r w:rsidRPr="00F323EB">
        <w:rPr>
          <w:sz w:val="24"/>
          <w:szCs w:val="24"/>
          <w:lang w:eastAsia="fr-FR"/>
        </w:rPr>
        <w:t xml:space="preserve"> </w:t>
      </w:r>
      <w:r>
        <w:rPr>
          <w:sz w:val="24"/>
          <w:szCs w:val="24"/>
          <w:lang w:eastAsia="fr-FR"/>
        </w:rPr>
        <w:t>Il</w:t>
      </w:r>
      <w:r w:rsidRPr="00F323EB">
        <w:rPr>
          <w:sz w:val="24"/>
          <w:szCs w:val="24"/>
          <w:lang w:eastAsia="fr-FR"/>
        </w:rPr>
        <w:t xml:space="preserve"> s’avère tout à fait légitime, en contrepartie, que nos universités s’investissent d’un regard à la fois critique et académique sur les civilisations autres que la nôtre.</w:t>
      </w:r>
    </w:p>
    <w:p w:rsidR="00F626EB" w:rsidRPr="00F13357" w:rsidRDefault="00F626EB" w:rsidP="00F626EB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>Dans le cas d'espèce, le programme ci-après est ouvert, d'une part, aux Ecoles Doctorales des Sciences Humaines et Sociales, ainsi qu'à d'autres cursus de troisième cycle en droit, sciences économiques,</w:t>
      </w:r>
      <w:r w:rsidR="00F323EB">
        <w:rPr>
          <w:sz w:val="24"/>
          <w:szCs w:val="24"/>
          <w:lang w:eastAsia="fr-FR"/>
        </w:rPr>
        <w:t xml:space="preserve"> histoire,</w:t>
      </w:r>
      <w:r w:rsidRPr="00F13357">
        <w:rPr>
          <w:sz w:val="24"/>
          <w:szCs w:val="24"/>
          <w:lang w:eastAsia="fr-FR"/>
        </w:rPr>
        <w:t xml:space="preserve"> génie civil (architecture) etc., d'autre part, à tout public de la société civile , notamment du milieu associatif local (El </w:t>
      </w:r>
      <w:proofErr w:type="spellStart"/>
      <w:r w:rsidRPr="00F13357">
        <w:rPr>
          <w:sz w:val="24"/>
          <w:szCs w:val="24"/>
          <w:lang w:eastAsia="fr-FR"/>
        </w:rPr>
        <w:t>Habakiya</w:t>
      </w:r>
      <w:proofErr w:type="spellEnd"/>
      <w:r w:rsidRPr="00F13357">
        <w:rPr>
          <w:sz w:val="24"/>
          <w:szCs w:val="24"/>
          <w:lang w:eastAsia="fr-FR"/>
        </w:rPr>
        <w:t xml:space="preserve">, </w:t>
      </w:r>
      <w:proofErr w:type="spellStart"/>
      <w:r w:rsidRPr="00F13357">
        <w:rPr>
          <w:sz w:val="24"/>
          <w:szCs w:val="24"/>
          <w:lang w:eastAsia="fr-FR"/>
        </w:rPr>
        <w:t>Ecolymet</w:t>
      </w:r>
      <w:proofErr w:type="spellEnd"/>
      <w:r w:rsidRPr="00F13357">
        <w:rPr>
          <w:sz w:val="24"/>
          <w:szCs w:val="24"/>
          <w:lang w:eastAsia="fr-FR"/>
        </w:rPr>
        <w:t>, ASPEWIT ) qui est invité à assister à ce programme en auditeur libre.</w:t>
      </w:r>
    </w:p>
    <w:p w:rsidR="00F626EB" w:rsidRPr="00F13357" w:rsidRDefault="00F626EB" w:rsidP="00F626EB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>Cet enseignement constitue un complément, voire un approfondissement des connaissances venant s'ajouter aux programmes de formations officiels dispensés aux doctorants.</w:t>
      </w:r>
    </w:p>
    <w:p w:rsidR="00F626EB" w:rsidRPr="00F13357" w:rsidRDefault="00F626EB" w:rsidP="00F626EB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 xml:space="preserve">La présence du public n'est pas obligatoire, mais l'horaire des cours doit </w:t>
      </w:r>
      <w:r w:rsidR="00DE1828" w:rsidRPr="00F13357">
        <w:rPr>
          <w:sz w:val="24"/>
          <w:szCs w:val="24"/>
          <w:lang w:eastAsia="fr-FR"/>
        </w:rPr>
        <w:t>être scrupuleusement respecté (</w:t>
      </w:r>
      <w:r w:rsidRPr="00F13357">
        <w:rPr>
          <w:sz w:val="24"/>
          <w:szCs w:val="24"/>
          <w:lang w:eastAsia="fr-FR"/>
        </w:rPr>
        <w:t>pas d'arrivée ni de départ en milieu de cours).</w:t>
      </w:r>
    </w:p>
    <w:p w:rsidR="001E02CD" w:rsidRPr="00F13357" w:rsidRDefault="001E02CD">
      <w:pPr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br w:type="page"/>
      </w:r>
    </w:p>
    <w:p w:rsidR="001E02CD" w:rsidRPr="009F4CCE" w:rsidRDefault="001E02CD" w:rsidP="009F4CCE">
      <w:pPr>
        <w:jc w:val="center"/>
        <w:rPr>
          <w:b/>
          <w:bCs/>
          <w:sz w:val="32"/>
          <w:szCs w:val="32"/>
          <w:lang w:eastAsia="fr-FR"/>
        </w:rPr>
      </w:pPr>
      <w:r w:rsidRPr="009F4CCE">
        <w:rPr>
          <w:b/>
          <w:bCs/>
          <w:sz w:val="32"/>
          <w:szCs w:val="32"/>
          <w:lang w:eastAsia="fr-FR"/>
        </w:rPr>
        <w:lastRenderedPageBreak/>
        <w:t>Programme</w:t>
      </w:r>
    </w:p>
    <w:p w:rsidR="001E02CD" w:rsidRPr="00F13357" w:rsidRDefault="001E02CD" w:rsidP="001E02CD">
      <w:pPr>
        <w:jc w:val="both"/>
        <w:rPr>
          <w:b/>
          <w:bCs/>
          <w:i/>
          <w:iCs/>
          <w:sz w:val="24"/>
          <w:szCs w:val="24"/>
          <w:lang w:eastAsia="fr-FR"/>
        </w:rPr>
      </w:pPr>
      <w:r w:rsidRPr="00F13357">
        <w:rPr>
          <w:b/>
          <w:bCs/>
          <w:i/>
          <w:iCs/>
          <w:sz w:val="24"/>
          <w:szCs w:val="24"/>
          <w:lang w:eastAsia="fr-FR"/>
        </w:rPr>
        <w:t>Première partie : Anthropologie historique et religieuse</w:t>
      </w:r>
    </w:p>
    <w:p w:rsidR="001E02CD" w:rsidRPr="00F13357" w:rsidRDefault="001E02CD" w:rsidP="001E02CD">
      <w:pPr>
        <w:jc w:val="both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 xml:space="preserve">Formation sociale comparée des grandes aires culturelles (sociétés </w:t>
      </w:r>
      <w:proofErr w:type="spellStart"/>
      <w:r w:rsidRPr="00F13357">
        <w:rPr>
          <w:sz w:val="24"/>
          <w:szCs w:val="24"/>
          <w:lang w:eastAsia="fr-FR"/>
        </w:rPr>
        <w:t>pré-capitalistes</w:t>
      </w:r>
      <w:proofErr w:type="spellEnd"/>
      <w:r w:rsidRPr="00F13357">
        <w:rPr>
          <w:sz w:val="24"/>
          <w:szCs w:val="24"/>
          <w:lang w:eastAsia="fr-FR"/>
        </w:rPr>
        <w:t>).</w:t>
      </w:r>
    </w:p>
    <w:p w:rsidR="001E02CD" w:rsidRPr="00F13357" w:rsidRDefault="001E02CD" w:rsidP="00F323EB">
      <w:pPr>
        <w:ind w:left="2124" w:hanging="2124"/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1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ère</w:t>
      </w:r>
      <w:r w:rsidR="00DE1828" w:rsidRPr="00F13357">
        <w:rPr>
          <w:b/>
          <w:bCs/>
          <w:sz w:val="24"/>
          <w:szCs w:val="24"/>
          <w:lang w:eastAsia="fr-FR"/>
        </w:rPr>
        <w:t xml:space="preserve"> et 2</w:t>
      </w:r>
      <w:r w:rsidR="00DE1828"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="00DE1828" w:rsidRPr="00F13357">
        <w:rPr>
          <w:b/>
          <w:bCs/>
          <w:sz w:val="24"/>
          <w:szCs w:val="24"/>
          <w:lang w:eastAsia="fr-FR"/>
        </w:rPr>
        <w:t xml:space="preserve"> s</w:t>
      </w:r>
      <w:r w:rsidRPr="00F13357">
        <w:rPr>
          <w:b/>
          <w:bCs/>
          <w:sz w:val="24"/>
          <w:szCs w:val="24"/>
          <w:lang w:eastAsia="fr-FR"/>
        </w:rPr>
        <w:t>éance</w:t>
      </w:r>
      <w:r w:rsidR="00DE1828" w:rsidRPr="00F13357">
        <w:rPr>
          <w:b/>
          <w:bCs/>
          <w:sz w:val="24"/>
          <w:szCs w:val="24"/>
          <w:lang w:eastAsia="fr-FR"/>
        </w:rPr>
        <w:t>s</w:t>
      </w:r>
      <w:r w:rsidRPr="00F13357">
        <w:rPr>
          <w:b/>
          <w:bCs/>
          <w:sz w:val="24"/>
          <w:szCs w:val="24"/>
          <w:lang w:eastAsia="fr-FR"/>
        </w:rPr>
        <w:t> :</w:t>
      </w:r>
      <w:r w:rsidRPr="00F13357">
        <w:rPr>
          <w:sz w:val="24"/>
          <w:szCs w:val="24"/>
          <w:lang w:eastAsia="fr-FR"/>
        </w:rPr>
        <w:t xml:space="preserve"> </w:t>
      </w:r>
      <w:r w:rsidR="00F13357">
        <w:rPr>
          <w:sz w:val="24"/>
          <w:szCs w:val="24"/>
          <w:lang w:eastAsia="fr-FR"/>
        </w:rPr>
        <w:tab/>
      </w:r>
      <w:r w:rsidRPr="00F13357">
        <w:rPr>
          <w:sz w:val="24"/>
          <w:szCs w:val="24"/>
          <w:lang w:eastAsia="fr-FR"/>
        </w:rPr>
        <w:t xml:space="preserve">La genèse </w:t>
      </w:r>
      <w:r w:rsidR="00F323EB">
        <w:rPr>
          <w:sz w:val="24"/>
          <w:szCs w:val="24"/>
          <w:lang w:eastAsia="fr-FR"/>
        </w:rPr>
        <w:t>d</w:t>
      </w:r>
      <w:r w:rsidRPr="00F13357">
        <w:rPr>
          <w:sz w:val="24"/>
          <w:szCs w:val="24"/>
          <w:lang w:eastAsia="fr-FR"/>
        </w:rPr>
        <w:t>u monothéisme dans la pensée orientaliste (moderne et contemporaine)</w:t>
      </w:r>
    </w:p>
    <w:p w:rsidR="001E02CD" w:rsidRPr="00F13357" w:rsidRDefault="001E02CD" w:rsidP="001E02CD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eastAsia="fr-FR"/>
        </w:rPr>
      </w:pPr>
      <w:r w:rsidRPr="00F13357">
        <w:rPr>
          <w:b/>
          <w:bCs/>
          <w:sz w:val="24"/>
          <w:szCs w:val="24"/>
          <w:u w:val="single"/>
          <w:lang w:eastAsia="fr-FR"/>
        </w:rPr>
        <w:t xml:space="preserve">Féodalités </w:t>
      </w:r>
      <w:proofErr w:type="spellStart"/>
      <w:r w:rsidRPr="00F13357">
        <w:rPr>
          <w:b/>
          <w:bCs/>
          <w:sz w:val="24"/>
          <w:szCs w:val="24"/>
          <w:u w:val="single"/>
          <w:lang w:eastAsia="fr-FR"/>
        </w:rPr>
        <w:t>a-typiques</w:t>
      </w:r>
      <w:proofErr w:type="spellEnd"/>
    </w:p>
    <w:p w:rsidR="001E02CD" w:rsidRPr="00F13357" w:rsidRDefault="001E02CD" w:rsidP="00F13357">
      <w:pPr>
        <w:ind w:left="1418" w:hanging="1415"/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3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</w:t>
      </w:r>
      <w:proofErr w:type="gramStart"/>
      <w:r w:rsidRPr="00F13357">
        <w:rPr>
          <w:b/>
          <w:bCs/>
          <w:sz w:val="24"/>
          <w:szCs w:val="24"/>
          <w:lang w:eastAsia="fr-FR"/>
        </w:rPr>
        <w:t>:</w:t>
      </w:r>
      <w:r w:rsidR="00F13357">
        <w:rPr>
          <w:b/>
          <w:bCs/>
          <w:sz w:val="24"/>
          <w:szCs w:val="24"/>
          <w:lang w:eastAsia="fr-FR"/>
        </w:rPr>
        <w:t xml:space="preserve"> </w:t>
      </w:r>
      <w:r w:rsidR="00F13357" w:rsidRPr="00F13357">
        <w:rPr>
          <w:sz w:val="24"/>
          <w:szCs w:val="24"/>
          <w:lang w:eastAsia="fr-FR"/>
        </w:rPr>
        <w:t xml:space="preserve"> </w:t>
      </w:r>
      <w:r w:rsidRPr="00F13357">
        <w:rPr>
          <w:sz w:val="24"/>
          <w:szCs w:val="24"/>
          <w:lang w:eastAsia="fr-FR"/>
        </w:rPr>
        <w:t>La</w:t>
      </w:r>
      <w:proofErr w:type="gramEnd"/>
      <w:r w:rsidRPr="00F13357">
        <w:rPr>
          <w:sz w:val="24"/>
          <w:szCs w:val="24"/>
          <w:lang w:eastAsia="fr-FR"/>
        </w:rPr>
        <w:t xml:space="preserve"> méditerranée méridionale : limite de l’</w:t>
      </w:r>
      <w:r w:rsidR="00F13357">
        <w:rPr>
          <w:sz w:val="24"/>
          <w:szCs w:val="24"/>
          <w:lang w:eastAsia="fr-FR"/>
        </w:rPr>
        <w:t>accumulation marchande « longue d</w:t>
      </w:r>
      <w:r w:rsidRPr="00F13357">
        <w:rPr>
          <w:sz w:val="24"/>
          <w:szCs w:val="24"/>
          <w:lang w:eastAsia="fr-FR"/>
        </w:rPr>
        <w:t>istance »</w:t>
      </w:r>
    </w:p>
    <w:p w:rsidR="001E02CD" w:rsidRPr="00F13357" w:rsidRDefault="001E02CD" w:rsidP="00F13357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4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 </w:t>
      </w:r>
      <w:r w:rsidRPr="00F13357">
        <w:rPr>
          <w:b/>
          <w:bCs/>
          <w:sz w:val="24"/>
          <w:szCs w:val="24"/>
          <w:lang w:eastAsia="fr-FR"/>
        </w:rPr>
        <w:tab/>
      </w:r>
      <w:r w:rsidRPr="00F13357">
        <w:rPr>
          <w:sz w:val="24"/>
          <w:szCs w:val="24"/>
          <w:lang w:eastAsia="fr-FR"/>
        </w:rPr>
        <w:t>L’Europe de l’Est : Limites de la domanialité</w:t>
      </w:r>
    </w:p>
    <w:p w:rsidR="001E02CD" w:rsidRPr="00F13357" w:rsidRDefault="001E02CD" w:rsidP="001E02CD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eastAsia="fr-FR"/>
        </w:rPr>
      </w:pPr>
      <w:r w:rsidRPr="00F13357">
        <w:rPr>
          <w:b/>
          <w:bCs/>
          <w:sz w:val="24"/>
          <w:szCs w:val="24"/>
          <w:u w:val="single"/>
          <w:lang w:eastAsia="fr-FR"/>
        </w:rPr>
        <w:t>Féodalisme Ouest-européen</w:t>
      </w:r>
    </w:p>
    <w:p w:rsidR="001E02CD" w:rsidRPr="00F13357" w:rsidRDefault="001E02CD" w:rsidP="00F323EB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5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</w:t>
      </w:r>
      <w:r w:rsidRPr="00F13357">
        <w:rPr>
          <w:sz w:val="24"/>
          <w:szCs w:val="24"/>
          <w:lang w:eastAsia="fr-FR"/>
        </w:rPr>
        <w:tab/>
        <w:t xml:space="preserve">Doctrine </w:t>
      </w:r>
      <w:r w:rsidRPr="00F13357">
        <w:rPr>
          <w:sz w:val="24"/>
          <w:szCs w:val="24"/>
          <w:lang w:eastAsia="fr-FR"/>
        </w:rPr>
        <w:tab/>
        <w:t>a) l’</w:t>
      </w:r>
      <w:r w:rsidR="00F323EB">
        <w:rPr>
          <w:sz w:val="24"/>
          <w:szCs w:val="24"/>
          <w:lang w:eastAsia="fr-FR"/>
        </w:rPr>
        <w:t>O</w:t>
      </w:r>
      <w:r w:rsidRPr="00F13357">
        <w:rPr>
          <w:sz w:val="24"/>
          <w:szCs w:val="24"/>
          <w:lang w:eastAsia="fr-FR"/>
        </w:rPr>
        <w:t>ccident se définit face au « despotisme oriental »</w:t>
      </w:r>
    </w:p>
    <w:p w:rsidR="001E02CD" w:rsidRPr="00F13357" w:rsidRDefault="001E02CD" w:rsidP="001E02CD">
      <w:pPr>
        <w:jc w:val="both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ab/>
      </w:r>
      <w:r w:rsidRPr="00F13357">
        <w:rPr>
          <w:sz w:val="24"/>
          <w:szCs w:val="24"/>
          <w:lang w:eastAsia="fr-FR"/>
        </w:rPr>
        <w:tab/>
      </w:r>
      <w:r w:rsidRPr="00F13357">
        <w:rPr>
          <w:sz w:val="24"/>
          <w:szCs w:val="24"/>
          <w:lang w:eastAsia="fr-FR"/>
        </w:rPr>
        <w:tab/>
      </w:r>
      <w:r w:rsidRPr="00F13357">
        <w:rPr>
          <w:sz w:val="24"/>
          <w:szCs w:val="24"/>
          <w:lang w:eastAsia="fr-FR"/>
        </w:rPr>
        <w:tab/>
        <w:t>b) quelques repères chronologiques</w:t>
      </w:r>
    </w:p>
    <w:p w:rsidR="001E02CD" w:rsidRPr="00F13357" w:rsidRDefault="00F1132F" w:rsidP="00F13357">
      <w:pPr>
        <w:ind w:left="1410"/>
        <w:jc w:val="both"/>
        <w:rPr>
          <w:sz w:val="24"/>
          <w:szCs w:val="24"/>
          <w:lang w:eastAsia="fr-FR"/>
        </w:rPr>
      </w:pPr>
      <w:proofErr w:type="gramStart"/>
      <w:r w:rsidRPr="00F13357">
        <w:rPr>
          <w:sz w:val="24"/>
          <w:szCs w:val="24"/>
          <w:lang w:eastAsia="fr-FR"/>
        </w:rPr>
        <w:t>La</w:t>
      </w:r>
      <w:proofErr w:type="gramEnd"/>
      <w:r w:rsidRPr="00F13357">
        <w:rPr>
          <w:sz w:val="24"/>
          <w:szCs w:val="24"/>
          <w:lang w:eastAsia="fr-FR"/>
        </w:rPr>
        <w:t xml:space="preserve"> tri fonctionnalité</w:t>
      </w:r>
      <w:r w:rsidR="001E02CD" w:rsidRPr="00F13357">
        <w:rPr>
          <w:sz w:val="24"/>
          <w:szCs w:val="24"/>
          <w:lang w:eastAsia="fr-FR"/>
        </w:rPr>
        <w:t xml:space="preserve"> Dumézilienne, à la base de la construction idéologique du féodalisme, ou l’Acte inaugural de la dynastie capétienne.</w:t>
      </w:r>
    </w:p>
    <w:p w:rsidR="001E02CD" w:rsidRPr="00F13357" w:rsidRDefault="00F1132F" w:rsidP="00F13357">
      <w:pPr>
        <w:ind w:left="1410" w:hanging="1410"/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6</w:t>
      </w:r>
      <w:r w:rsidR="001E02CD"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="001E02CD" w:rsidRPr="00F13357">
        <w:rPr>
          <w:b/>
          <w:bCs/>
          <w:sz w:val="24"/>
          <w:szCs w:val="24"/>
          <w:lang w:eastAsia="fr-FR"/>
        </w:rPr>
        <w:t xml:space="preserve"> séance :</w:t>
      </w:r>
      <w:r w:rsidR="001E02CD" w:rsidRPr="00F13357">
        <w:rPr>
          <w:sz w:val="24"/>
          <w:szCs w:val="24"/>
          <w:lang w:eastAsia="fr-FR"/>
        </w:rPr>
        <w:t xml:space="preserve"> </w:t>
      </w:r>
      <w:r w:rsidR="001E02CD" w:rsidRPr="00F13357">
        <w:rPr>
          <w:sz w:val="24"/>
          <w:szCs w:val="24"/>
          <w:lang w:eastAsia="fr-FR"/>
        </w:rPr>
        <w:tab/>
      </w:r>
      <w:r w:rsidR="00F13357">
        <w:rPr>
          <w:sz w:val="24"/>
          <w:szCs w:val="24"/>
          <w:lang w:eastAsia="fr-FR"/>
        </w:rPr>
        <w:tab/>
      </w:r>
      <w:r w:rsidR="001E02CD" w:rsidRPr="00F13357">
        <w:rPr>
          <w:sz w:val="24"/>
          <w:szCs w:val="24"/>
          <w:lang w:eastAsia="fr-FR"/>
        </w:rPr>
        <w:t>Structure et évolution du féodalisme en Europe occidentale : le cas du Japon</w:t>
      </w:r>
    </w:p>
    <w:p w:rsidR="001E02CD" w:rsidRPr="00F13357" w:rsidRDefault="00F1132F" w:rsidP="001E02CD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7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</w:t>
      </w:r>
      <w:r w:rsidRPr="00F13357">
        <w:rPr>
          <w:sz w:val="24"/>
          <w:szCs w:val="24"/>
          <w:lang w:eastAsia="fr-FR"/>
        </w:rPr>
        <w:tab/>
        <w:t>La thèse de Pierre CHAUNU ou le primat de l’infrastructure.</w:t>
      </w:r>
    </w:p>
    <w:p w:rsidR="00F1132F" w:rsidRPr="00F13357" w:rsidRDefault="00F1132F" w:rsidP="00F1132F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eastAsia="fr-FR"/>
        </w:rPr>
      </w:pPr>
      <w:r w:rsidRPr="00F13357">
        <w:rPr>
          <w:b/>
          <w:bCs/>
          <w:sz w:val="24"/>
          <w:szCs w:val="24"/>
          <w:u w:val="single"/>
          <w:lang w:eastAsia="fr-FR"/>
        </w:rPr>
        <w:t>De l’espace dynastique à l’espace marchand : Economie – monde et ordre mondial</w:t>
      </w:r>
    </w:p>
    <w:p w:rsidR="00F1132F" w:rsidRPr="00F13357" w:rsidRDefault="00F1132F" w:rsidP="00F323EB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8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et 9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séances </w:t>
      </w:r>
      <w:proofErr w:type="gramStart"/>
      <w:r w:rsidRPr="00F13357">
        <w:rPr>
          <w:b/>
          <w:bCs/>
          <w:sz w:val="24"/>
          <w:szCs w:val="24"/>
          <w:lang w:eastAsia="fr-FR"/>
        </w:rPr>
        <w:t>:</w:t>
      </w:r>
      <w:r w:rsidR="00F13357">
        <w:rPr>
          <w:sz w:val="24"/>
          <w:szCs w:val="24"/>
          <w:lang w:eastAsia="fr-FR"/>
        </w:rPr>
        <w:t xml:space="preserve">  </w:t>
      </w:r>
      <w:r w:rsidRPr="00F13357">
        <w:rPr>
          <w:sz w:val="24"/>
          <w:szCs w:val="24"/>
          <w:lang w:eastAsia="fr-FR"/>
        </w:rPr>
        <w:t>Les</w:t>
      </w:r>
      <w:proofErr w:type="gramEnd"/>
      <w:r w:rsidRPr="00F13357">
        <w:rPr>
          <w:sz w:val="24"/>
          <w:szCs w:val="24"/>
          <w:lang w:eastAsia="fr-FR"/>
        </w:rPr>
        <w:t xml:space="preserve"> débuts de la </w:t>
      </w:r>
      <w:r w:rsidR="00F323EB">
        <w:rPr>
          <w:sz w:val="24"/>
          <w:szCs w:val="24"/>
          <w:lang w:eastAsia="fr-FR"/>
        </w:rPr>
        <w:t>R</w:t>
      </w:r>
      <w:r w:rsidRPr="00F13357">
        <w:rPr>
          <w:sz w:val="24"/>
          <w:szCs w:val="24"/>
          <w:lang w:eastAsia="fr-FR"/>
        </w:rPr>
        <w:t xml:space="preserve">évolution </w:t>
      </w:r>
      <w:r w:rsidR="00F323EB">
        <w:rPr>
          <w:sz w:val="24"/>
          <w:szCs w:val="24"/>
          <w:lang w:eastAsia="fr-FR"/>
        </w:rPr>
        <w:t>I</w:t>
      </w:r>
      <w:r w:rsidRPr="00F13357">
        <w:rPr>
          <w:sz w:val="24"/>
          <w:szCs w:val="24"/>
          <w:lang w:eastAsia="fr-FR"/>
        </w:rPr>
        <w:t>ndustrielle en Angleterre et en France.</w:t>
      </w:r>
    </w:p>
    <w:p w:rsidR="009F4CCE" w:rsidRDefault="009F4CCE" w:rsidP="00F1132F">
      <w:pPr>
        <w:jc w:val="both"/>
        <w:rPr>
          <w:b/>
          <w:bCs/>
          <w:i/>
          <w:iCs/>
          <w:sz w:val="24"/>
          <w:szCs w:val="24"/>
          <w:lang w:eastAsia="fr-FR"/>
        </w:rPr>
      </w:pPr>
    </w:p>
    <w:p w:rsidR="00F1132F" w:rsidRPr="00F13357" w:rsidRDefault="00F1132F" w:rsidP="00F1132F">
      <w:pPr>
        <w:jc w:val="both"/>
        <w:rPr>
          <w:b/>
          <w:bCs/>
          <w:i/>
          <w:iCs/>
          <w:sz w:val="24"/>
          <w:szCs w:val="24"/>
          <w:lang w:eastAsia="fr-FR"/>
        </w:rPr>
      </w:pPr>
      <w:r w:rsidRPr="00F13357">
        <w:rPr>
          <w:b/>
          <w:bCs/>
          <w:i/>
          <w:iCs/>
          <w:sz w:val="24"/>
          <w:szCs w:val="24"/>
          <w:lang w:eastAsia="fr-FR"/>
        </w:rPr>
        <w:t>Deuxième partie : Anthropologie juridique</w:t>
      </w:r>
    </w:p>
    <w:p w:rsidR="00F1132F" w:rsidRPr="00F13357" w:rsidRDefault="00F1132F" w:rsidP="00F13357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10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Inventaire critique des champs d’investigation</w:t>
      </w:r>
    </w:p>
    <w:p w:rsidR="00F1132F" w:rsidRPr="00F13357" w:rsidRDefault="00F1132F" w:rsidP="00F1132F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11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Typologie diachronique : applic</w:t>
      </w:r>
      <w:r w:rsidR="00F13357" w:rsidRPr="00F13357">
        <w:rPr>
          <w:sz w:val="24"/>
          <w:szCs w:val="24"/>
          <w:lang w:eastAsia="fr-FR"/>
        </w:rPr>
        <w:t>ation aux formes d’articulation</w:t>
      </w:r>
      <w:r w:rsidRPr="00F13357">
        <w:rPr>
          <w:sz w:val="24"/>
          <w:szCs w:val="24"/>
          <w:lang w:eastAsia="fr-FR"/>
        </w:rPr>
        <w:t xml:space="preserve"> sous-jacentes.</w:t>
      </w:r>
    </w:p>
    <w:p w:rsidR="00F1132F" w:rsidRPr="00F13357" w:rsidRDefault="00F1132F" w:rsidP="00F13357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12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Typologie synchronique : droit et écosystème</w:t>
      </w:r>
    </w:p>
    <w:p w:rsidR="00F1132F" w:rsidRPr="00F13357" w:rsidRDefault="00F1132F" w:rsidP="00F1132F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13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Droit colonial et décolonisation : interférence des rationalités juridiques. L’exemple du Maghreb.</w:t>
      </w:r>
    </w:p>
    <w:p w:rsidR="00F1132F" w:rsidRPr="00F13357" w:rsidRDefault="00F1132F" w:rsidP="00F1132F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14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les réformes agraires : enjeux et </w:t>
      </w:r>
      <w:r w:rsidR="00F323EB" w:rsidRPr="00F13357">
        <w:rPr>
          <w:sz w:val="24"/>
          <w:szCs w:val="24"/>
          <w:lang w:eastAsia="fr-FR"/>
        </w:rPr>
        <w:t>contradictions</w:t>
      </w:r>
      <w:r w:rsidRPr="00F13357">
        <w:rPr>
          <w:sz w:val="24"/>
          <w:szCs w:val="24"/>
          <w:lang w:eastAsia="fr-FR"/>
        </w:rPr>
        <w:t>.</w:t>
      </w:r>
    </w:p>
    <w:p w:rsidR="00F1132F" w:rsidRPr="00F13357" w:rsidRDefault="00F1132F" w:rsidP="00F13357">
      <w:pPr>
        <w:jc w:val="both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>Troisième partie : Anthropologie politique (culture, politique et développement</w:t>
      </w:r>
      <w:r w:rsidR="00F13357" w:rsidRPr="00F13357">
        <w:rPr>
          <w:sz w:val="24"/>
          <w:szCs w:val="24"/>
          <w:lang w:eastAsia="fr-FR"/>
        </w:rPr>
        <w:t> : illustrations maghrébines)</w:t>
      </w:r>
    </w:p>
    <w:p w:rsidR="00F1132F" w:rsidRPr="00F13357" w:rsidRDefault="00F1132F" w:rsidP="00F1132F">
      <w:pPr>
        <w:jc w:val="both"/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15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1. Statut de la rationalité économique dans les pays dominés et au Maghreb :</w:t>
      </w:r>
    </w:p>
    <w:p w:rsidR="00F1132F" w:rsidRPr="00F13357" w:rsidRDefault="00F1132F" w:rsidP="00F13357">
      <w:pPr>
        <w:pStyle w:val="Paragraphedeliste"/>
        <w:numPr>
          <w:ilvl w:val="1"/>
          <w:numId w:val="4"/>
        </w:numPr>
        <w:ind w:firstLine="20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>Contexte et doctrines</w:t>
      </w:r>
    </w:p>
    <w:p w:rsidR="00F1132F" w:rsidRPr="00F13357" w:rsidRDefault="00F1132F" w:rsidP="00F13357">
      <w:pPr>
        <w:pStyle w:val="Paragraphedeliste"/>
        <w:numPr>
          <w:ilvl w:val="1"/>
          <w:numId w:val="4"/>
        </w:numPr>
        <w:ind w:firstLine="20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>Problématique de la subordination de l'Economique au Politique</w:t>
      </w:r>
    </w:p>
    <w:p w:rsidR="00F1132F" w:rsidRPr="00F13357" w:rsidRDefault="00F1132F" w:rsidP="00F13357">
      <w:pPr>
        <w:pStyle w:val="Paragraphedeliste"/>
        <w:numPr>
          <w:ilvl w:val="1"/>
          <w:numId w:val="4"/>
        </w:numPr>
        <w:ind w:firstLine="20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lastRenderedPageBreak/>
        <w:t>« Archéologie » des modèles de domination internes (typologie diachronique)</w:t>
      </w:r>
    </w:p>
    <w:p w:rsidR="00F1132F" w:rsidRPr="00F13357" w:rsidRDefault="00F1132F" w:rsidP="00F13357">
      <w:pPr>
        <w:pStyle w:val="Paragraphedeliste"/>
        <w:numPr>
          <w:ilvl w:val="1"/>
          <w:numId w:val="4"/>
        </w:numPr>
        <w:ind w:firstLine="20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 xml:space="preserve">Récurrences-résurgences « patrimoniales » après les indépendances (comparaisons </w:t>
      </w:r>
      <w:proofErr w:type="spellStart"/>
      <w:r w:rsidRPr="00F13357">
        <w:rPr>
          <w:sz w:val="24"/>
          <w:szCs w:val="24"/>
          <w:lang w:eastAsia="fr-FR"/>
        </w:rPr>
        <w:t>inter-maghrébines</w:t>
      </w:r>
      <w:proofErr w:type="spellEnd"/>
      <w:r w:rsidRPr="00F13357">
        <w:rPr>
          <w:sz w:val="24"/>
          <w:szCs w:val="24"/>
          <w:lang w:eastAsia="fr-FR"/>
        </w:rPr>
        <w:t>)</w:t>
      </w:r>
    </w:p>
    <w:p w:rsidR="00F1132F" w:rsidRPr="00F13357" w:rsidRDefault="00306457" w:rsidP="00306457">
      <w:pPr>
        <w:rPr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t>16</w:t>
      </w:r>
      <w:r w:rsidRPr="00F13357">
        <w:rPr>
          <w:b/>
          <w:bCs/>
          <w:sz w:val="24"/>
          <w:szCs w:val="24"/>
          <w:vertAlign w:val="superscript"/>
          <w:lang w:eastAsia="fr-FR"/>
        </w:rPr>
        <w:t>ème</w:t>
      </w:r>
      <w:r w:rsidRPr="00F13357">
        <w:rPr>
          <w:b/>
          <w:bCs/>
          <w:sz w:val="24"/>
          <w:szCs w:val="24"/>
          <w:lang w:eastAsia="fr-FR"/>
        </w:rPr>
        <w:t xml:space="preserve"> séance :</w:t>
      </w:r>
      <w:r w:rsidRPr="00F13357">
        <w:rPr>
          <w:sz w:val="24"/>
          <w:szCs w:val="24"/>
          <w:lang w:eastAsia="fr-FR"/>
        </w:rPr>
        <w:t xml:space="preserve"> </w:t>
      </w:r>
      <w:r w:rsidR="00F1132F" w:rsidRPr="00F13357">
        <w:rPr>
          <w:sz w:val="24"/>
          <w:szCs w:val="24"/>
          <w:lang w:eastAsia="fr-FR"/>
        </w:rPr>
        <w:t>2. Le cas de l'Algérie : dynamique de l'articulation « légitimité-redistribution- socialisation » :</w:t>
      </w:r>
    </w:p>
    <w:p w:rsidR="00F1132F" w:rsidRPr="00F13357" w:rsidRDefault="00306457" w:rsidP="00F323EB">
      <w:pPr>
        <w:ind w:firstLine="56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 xml:space="preserve">2.1. </w:t>
      </w:r>
      <w:r w:rsidR="00F1132F" w:rsidRPr="00F13357">
        <w:rPr>
          <w:sz w:val="24"/>
          <w:szCs w:val="24"/>
          <w:lang w:eastAsia="fr-FR"/>
        </w:rPr>
        <w:t>L'Etat méritocratique</w:t>
      </w:r>
      <w:r w:rsidR="00F323EB">
        <w:rPr>
          <w:sz w:val="24"/>
          <w:szCs w:val="24"/>
          <w:lang w:eastAsia="fr-FR"/>
        </w:rPr>
        <w:t>.</w:t>
      </w:r>
    </w:p>
    <w:p w:rsidR="00F1132F" w:rsidRPr="00F13357" w:rsidRDefault="00306457" w:rsidP="00F323EB">
      <w:pPr>
        <w:ind w:firstLine="56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 xml:space="preserve">2.2. </w:t>
      </w:r>
      <w:r w:rsidR="00F1132F" w:rsidRPr="00F13357">
        <w:rPr>
          <w:sz w:val="24"/>
          <w:szCs w:val="24"/>
          <w:lang w:eastAsia="fr-FR"/>
        </w:rPr>
        <w:t>L'Etat prébendier</w:t>
      </w:r>
      <w:r w:rsidR="00F323EB">
        <w:rPr>
          <w:sz w:val="24"/>
          <w:szCs w:val="24"/>
          <w:lang w:eastAsia="fr-FR"/>
        </w:rPr>
        <w:t>.</w:t>
      </w:r>
    </w:p>
    <w:p w:rsidR="00F1132F" w:rsidRPr="00F13357" w:rsidRDefault="00306457" w:rsidP="00F323EB">
      <w:pPr>
        <w:ind w:firstLine="56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 xml:space="preserve">2.3. </w:t>
      </w:r>
      <w:r w:rsidR="00F1132F" w:rsidRPr="00F13357">
        <w:rPr>
          <w:sz w:val="24"/>
          <w:szCs w:val="24"/>
          <w:lang w:eastAsia="fr-FR"/>
        </w:rPr>
        <w:t>L'Etat-patron, première manière</w:t>
      </w:r>
    </w:p>
    <w:p w:rsidR="00F1132F" w:rsidRPr="00F13357" w:rsidRDefault="00306457" w:rsidP="00F323EB">
      <w:pPr>
        <w:ind w:firstLine="56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>2.4. L'Etat arbitre</w:t>
      </w:r>
      <w:r w:rsidR="00F1132F" w:rsidRPr="00F13357">
        <w:rPr>
          <w:sz w:val="24"/>
          <w:szCs w:val="24"/>
          <w:lang w:eastAsia="fr-FR"/>
        </w:rPr>
        <w:t>, deuxième manière</w:t>
      </w:r>
    </w:p>
    <w:p w:rsidR="00F1132F" w:rsidRPr="00F13357" w:rsidRDefault="00306457" w:rsidP="00F323EB">
      <w:pPr>
        <w:ind w:firstLine="567"/>
        <w:rPr>
          <w:sz w:val="24"/>
          <w:szCs w:val="24"/>
          <w:lang w:eastAsia="fr-FR"/>
        </w:rPr>
      </w:pPr>
      <w:r w:rsidRPr="00F13357">
        <w:rPr>
          <w:sz w:val="24"/>
          <w:szCs w:val="24"/>
          <w:lang w:eastAsia="fr-FR"/>
        </w:rPr>
        <w:t xml:space="preserve">2.5. </w:t>
      </w:r>
      <w:r w:rsidR="00F1132F" w:rsidRPr="00F13357">
        <w:rPr>
          <w:sz w:val="24"/>
          <w:szCs w:val="24"/>
          <w:lang w:eastAsia="fr-FR"/>
        </w:rPr>
        <w:t>Le « roi-nu »</w:t>
      </w:r>
      <w:r w:rsidR="00F323EB">
        <w:rPr>
          <w:sz w:val="24"/>
          <w:szCs w:val="24"/>
          <w:lang w:eastAsia="fr-FR"/>
        </w:rPr>
        <w:t xml:space="preserve"> du socialisme par décret ou libéralisme par </w:t>
      </w:r>
      <w:r w:rsidR="00F1132F" w:rsidRPr="00F13357">
        <w:rPr>
          <w:sz w:val="24"/>
          <w:szCs w:val="24"/>
          <w:lang w:eastAsia="fr-FR"/>
        </w:rPr>
        <w:t>décret</w:t>
      </w:r>
      <w:r w:rsidR="00F323EB">
        <w:rPr>
          <w:sz w:val="24"/>
          <w:szCs w:val="24"/>
          <w:lang w:eastAsia="fr-FR"/>
        </w:rPr>
        <w:t>.</w:t>
      </w:r>
    </w:p>
    <w:p w:rsidR="00F1132F" w:rsidRPr="00F13357" w:rsidRDefault="00F1132F" w:rsidP="00F1132F">
      <w:pPr>
        <w:jc w:val="both"/>
        <w:rPr>
          <w:sz w:val="24"/>
          <w:szCs w:val="24"/>
          <w:lang w:eastAsia="fr-FR"/>
        </w:rPr>
      </w:pPr>
    </w:p>
    <w:p w:rsidR="001E02CD" w:rsidRPr="00F13357" w:rsidRDefault="001E02CD" w:rsidP="001E02CD">
      <w:pPr>
        <w:jc w:val="both"/>
        <w:rPr>
          <w:sz w:val="24"/>
          <w:szCs w:val="24"/>
          <w:lang w:eastAsia="fr-FR"/>
        </w:rPr>
      </w:pPr>
    </w:p>
    <w:p w:rsidR="00D74F83" w:rsidRPr="00F13357" w:rsidRDefault="00D74F83">
      <w:pPr>
        <w:rPr>
          <w:b/>
          <w:bCs/>
          <w:sz w:val="24"/>
          <w:szCs w:val="24"/>
        </w:rPr>
      </w:pPr>
      <w:r w:rsidRPr="00F13357">
        <w:rPr>
          <w:b/>
          <w:bCs/>
          <w:sz w:val="24"/>
          <w:szCs w:val="24"/>
        </w:rPr>
        <w:br w:type="page"/>
      </w:r>
    </w:p>
    <w:p w:rsidR="00D74F83" w:rsidRPr="00F13357" w:rsidRDefault="00D74F83" w:rsidP="00D74F83">
      <w:pPr>
        <w:rPr>
          <w:b/>
          <w:bCs/>
          <w:sz w:val="24"/>
          <w:szCs w:val="24"/>
          <w:lang w:eastAsia="fr-FR"/>
        </w:rPr>
      </w:pPr>
      <w:r w:rsidRPr="00F13357">
        <w:rPr>
          <w:b/>
          <w:bCs/>
          <w:sz w:val="24"/>
          <w:szCs w:val="24"/>
          <w:lang w:eastAsia="fr-FR"/>
        </w:rPr>
        <w:lastRenderedPageBreak/>
        <w:t>Bibliographie</w:t>
      </w:r>
    </w:p>
    <w:p w:rsidR="00D74F83" w:rsidRPr="00EA6823" w:rsidRDefault="00D74F83" w:rsidP="00D74F83">
      <w:pPr>
        <w:rPr>
          <w:b/>
          <w:bCs/>
          <w:sz w:val="24"/>
          <w:szCs w:val="24"/>
          <w:u w:val="single"/>
          <w:lang w:eastAsia="fr-FR"/>
        </w:rPr>
      </w:pPr>
      <w:r w:rsidRPr="00EA6823">
        <w:rPr>
          <w:b/>
          <w:bCs/>
          <w:sz w:val="24"/>
          <w:szCs w:val="24"/>
          <w:u w:val="single"/>
          <w:lang w:eastAsia="fr-FR"/>
        </w:rPr>
        <w:t xml:space="preserve">I. </w:t>
      </w:r>
      <w:r w:rsidR="00F13357" w:rsidRPr="00EA6823">
        <w:rPr>
          <w:b/>
          <w:bCs/>
          <w:sz w:val="24"/>
          <w:szCs w:val="24"/>
          <w:u w:val="single"/>
          <w:lang w:eastAsia="fr-FR"/>
        </w:rPr>
        <w:t>Anthropologie religieuse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William Robertson.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Smith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,Religion</w:t>
      </w:r>
      <w:proofErr w:type="spellEnd"/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of the Sémites ,New Brunswick (USA) and  London ( U.K),1884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Sigmund Freud, Totem et Tabou, Editions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  Gallimard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, 1912-13</w:t>
      </w:r>
    </w:p>
    <w:p w:rsidR="00EA6823" w:rsidRPr="00EA6823" w:rsidRDefault="00F13357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Sigmund Freud,</w:t>
      </w:r>
      <w:proofErr w:type="gramStart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  L'homme</w:t>
      </w:r>
      <w:proofErr w:type="gramEnd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Moïse  et la religion  monothéiste , Gallimard, 1939</w:t>
      </w:r>
    </w:p>
    <w:p w:rsidR="00EA6823" w:rsidRPr="00EA6823" w:rsidRDefault="00F13357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Daniel Faivre.</w:t>
      </w:r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,</w:t>
      </w:r>
      <w:proofErr w:type="gramStart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  Précis</w:t>
      </w:r>
      <w:proofErr w:type="gramEnd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d'anthropologie biblique , </w:t>
      </w:r>
      <w:proofErr w:type="spellStart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L'Harmattan</w:t>
      </w:r>
      <w:proofErr w:type="spellEnd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, 2000</w:t>
      </w:r>
    </w:p>
    <w:p w:rsidR="00EA6823" w:rsidRPr="00EA6823" w:rsidRDefault="00F13357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  <w:shd w:val="clear" w:color="auto" w:fill="FFFFFF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Max Weber</w:t>
      </w:r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, Le judaïsme antique,</w:t>
      </w:r>
      <w:proofErr w:type="gramStart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  Edition</w:t>
      </w:r>
      <w:proofErr w:type="gramEnd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Pocquet</w:t>
      </w:r>
      <w:proofErr w:type="spellEnd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,  1919</w:t>
      </w:r>
    </w:p>
    <w:p w:rsidR="00EA6823" w:rsidRPr="00EA6823" w:rsidRDefault="00EA682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M</w:t>
      </w:r>
      <w:r w:rsidR="00F13357" w:rsidRPr="00EA6823">
        <w:rPr>
          <w:rFonts w:cs="Segoe UI"/>
          <w:color w:val="000000"/>
          <w:sz w:val="24"/>
          <w:szCs w:val="24"/>
          <w:shd w:val="clear" w:color="auto" w:fill="FFFFFF"/>
        </w:rPr>
        <w:t>ax Weber, </w:t>
      </w:r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Sociologie de la religion, Edition </w:t>
      </w:r>
      <w:proofErr w:type="gramStart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Flammarion ,</w:t>
      </w:r>
      <w:proofErr w:type="gramEnd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1913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Jan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Assmann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. ,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  Moïse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l'Egyptien, Edition Flammarion, 1997</w:t>
      </w:r>
    </w:p>
    <w:p w:rsidR="00EA6823" w:rsidRPr="00EA6823" w:rsidRDefault="00F13357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Moncef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Sfar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.</w:t>
      </w:r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,</w:t>
      </w:r>
      <w:proofErr w:type="gramStart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  Le</w:t>
      </w:r>
      <w:proofErr w:type="gramEnd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Coran, la Bible et l'Orient ancien, ( â compte d'auteur), 1998           </w:t>
      </w:r>
      <w:r w:rsidR="00D74F83" w:rsidRPr="00EA6823">
        <w:rPr>
          <w:rStyle w:val="apple-converted-space"/>
          <w:rFonts w:cs="Segoe UI"/>
          <w:color w:val="000000"/>
          <w:sz w:val="24"/>
          <w:szCs w:val="24"/>
          <w:shd w:val="clear" w:color="auto" w:fill="FFFFFF"/>
        </w:rPr>
        <w:t> 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Georges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Dumezil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, Mythe et Épopée 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( I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L'idéologie des trois fonctions dans les épopées des</w:t>
      </w:r>
      <w:r w:rsidR="00F13357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peuples 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indo-europêens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-II Types  épiques  </w:t>
      </w:r>
      <w:r w:rsidR="00EA6823" w:rsidRPr="00EA6823">
        <w:rPr>
          <w:rFonts w:cs="Segoe UI"/>
          <w:color w:val="000000"/>
          <w:sz w:val="24"/>
          <w:szCs w:val="24"/>
          <w:shd w:val="clear" w:color="auto" w:fill="FFFFFF"/>
        </w:rPr>
        <w:t>indo -</w:t>
      </w:r>
      <w:proofErr w:type="spellStart"/>
      <w:r w:rsidR="00EA6823" w:rsidRPr="00EA6823">
        <w:rPr>
          <w:rFonts w:cs="Segoe UI"/>
          <w:color w:val="000000"/>
          <w:sz w:val="24"/>
          <w:szCs w:val="24"/>
          <w:shd w:val="clear" w:color="auto" w:fill="FFFFFF"/>
        </w:rPr>
        <w:t>europėens</w:t>
      </w:r>
      <w:proofErr w:type="spellEnd"/>
      <w:r w:rsidR="00EA6823" w:rsidRPr="00EA6823">
        <w:rPr>
          <w:rFonts w:cs="Segoe UI"/>
          <w:color w:val="000000"/>
          <w:sz w:val="24"/>
          <w:szCs w:val="24"/>
          <w:shd w:val="clear" w:color="auto" w:fill="FFFFFF"/>
        </w:rPr>
        <w:t>:  un héros, un </w:t>
      </w: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sorcier, un roi - III Histoires romaines )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Roger 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Garaudy ,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Les mythes fondateurs de la politique israélienne ,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Ed.SAMISZDAT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, 1996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Jean Ries,</w:t>
      </w:r>
      <w:r w:rsidR="00EA682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Les chrétiens parmi les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  religions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,Edition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Desclée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, 1987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André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Manaranche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, Attitudes chrétiennes</w:t>
      </w:r>
      <w:r w:rsidR="00EA6823" w:rsidRPr="00EA6823">
        <w:rPr>
          <w:rFonts w:cs="Segoe UI"/>
          <w:color w:val="000000"/>
          <w:sz w:val="24"/>
          <w:szCs w:val="24"/>
        </w:rPr>
        <w:t xml:space="preserve"> </w:t>
      </w: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en politique,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  Edition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Seuil, 1977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Perry Andersson, Le féodalisme en Europe de l'Est, PUF, 1970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Georges Duby. , Les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  trois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ordres ou l'imaginaire du féodalisme, Gallimard, 1973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Jacques Paul.    , L'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Historie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intellectuelle de l'Occident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médiéval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,Armand</w:t>
      </w:r>
      <w:proofErr w:type="spellEnd"/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Colin, 1998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Hershel</w:t>
      </w:r>
      <w:proofErr w:type="spellEnd"/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Shanks</w:t>
      </w:r>
      <w:proofErr w:type="spellEnd"/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,L'énigme des manuscrits de la mer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morte,Edition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Desclêe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Bouwer</w:t>
      </w:r>
      <w:proofErr w:type="spellEnd"/>
    </w:p>
    <w:p w:rsidR="00EA6823" w:rsidRPr="00EA6823" w:rsidRDefault="00EA682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Peter Brown., </w:t>
      </w:r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Le renoncement à la chair : Virginité, célibat et continence dans le christianisme </w:t>
      </w:r>
      <w:proofErr w:type="gramStart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>primitif ,Editions</w:t>
      </w:r>
      <w:proofErr w:type="gramEnd"/>
      <w:r w:rsidR="00D74F83"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Gallimard, 1988</w:t>
      </w:r>
    </w:p>
    <w:p w:rsidR="00EA6823" w:rsidRPr="00EA6823" w:rsidRDefault="00D74F83" w:rsidP="00EA6823">
      <w:pPr>
        <w:pStyle w:val="Paragraphedeliste"/>
        <w:numPr>
          <w:ilvl w:val="0"/>
          <w:numId w:val="6"/>
        </w:numPr>
        <w:rPr>
          <w:rFonts w:cs="Segoe UI"/>
          <w:color w:val="000000"/>
          <w:sz w:val="24"/>
          <w:szCs w:val="24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Georges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Jehel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et Philippe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Racinet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, les relations des pays d'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slam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avec e monde latin, Editions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  du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  Temps, 2000</w:t>
      </w:r>
    </w:p>
    <w:p w:rsidR="00D74F83" w:rsidRPr="00EA6823" w:rsidRDefault="00D74F83" w:rsidP="00EA6823">
      <w:pPr>
        <w:pStyle w:val="Paragraphedeliste"/>
        <w:numPr>
          <w:ilvl w:val="0"/>
          <w:numId w:val="6"/>
        </w:numPr>
        <w:rPr>
          <w:sz w:val="24"/>
          <w:szCs w:val="24"/>
          <w:lang w:eastAsia="fr-FR"/>
        </w:rPr>
      </w:pPr>
      <w:r w:rsidRPr="00EA6823">
        <w:rPr>
          <w:rFonts w:cs="Segoe UI"/>
          <w:color w:val="000000"/>
          <w:sz w:val="24"/>
          <w:szCs w:val="24"/>
          <w:shd w:val="clear" w:color="auto" w:fill="FFFFFF"/>
        </w:rPr>
        <w:t>Maurice Lombard,</w:t>
      </w:r>
      <w:proofErr w:type="gram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  L'Islam</w:t>
      </w:r>
      <w:proofErr w:type="gram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dans sa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premiēre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 xml:space="preserve"> grandeur (VII - XIe </w:t>
      </w:r>
      <w:proofErr w:type="spellStart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siēcle</w:t>
      </w:r>
      <w:proofErr w:type="spellEnd"/>
      <w:r w:rsidRPr="00EA6823">
        <w:rPr>
          <w:rFonts w:cs="Segoe UI"/>
          <w:color w:val="000000"/>
          <w:sz w:val="24"/>
          <w:szCs w:val="24"/>
          <w:shd w:val="clear" w:color="auto" w:fill="FFFFFF"/>
        </w:rPr>
        <w:t>), Editions Flammarion, 1968</w:t>
      </w:r>
    </w:p>
    <w:p w:rsidR="00D74F83" w:rsidRPr="00EA6823" w:rsidRDefault="00D74F83" w:rsidP="00D74F83">
      <w:pPr>
        <w:rPr>
          <w:b/>
          <w:bCs/>
          <w:sz w:val="24"/>
          <w:szCs w:val="24"/>
          <w:u w:val="single"/>
          <w:lang w:eastAsia="fr-FR"/>
        </w:rPr>
      </w:pPr>
      <w:r w:rsidRPr="00EA6823">
        <w:rPr>
          <w:b/>
          <w:bCs/>
          <w:sz w:val="24"/>
          <w:szCs w:val="24"/>
          <w:u w:val="single"/>
          <w:lang w:eastAsia="fr-FR"/>
        </w:rPr>
        <w:t>II. Anthropologie historiques :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Perry ANDERSON : l'État absolutiste, ses origines et ses voies.</w:t>
      </w:r>
      <w:r w:rsidRPr="00EA6823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EA6823">
        <w:rPr>
          <w:sz w:val="24"/>
          <w:szCs w:val="24"/>
          <w:lang w:eastAsia="fr-FR"/>
        </w:rPr>
        <w:t>T 1 et T 2 (Maspero)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Robert FOSSEER : Histoire sociale de l'Occident médiéval (</w:t>
      </w:r>
      <w:proofErr w:type="spellStart"/>
      <w:r w:rsidRPr="00EA6823">
        <w:rPr>
          <w:sz w:val="24"/>
          <w:szCs w:val="24"/>
          <w:lang w:eastAsia="fr-FR"/>
        </w:rPr>
        <w:t>A.Colin</w:t>
      </w:r>
      <w:proofErr w:type="spellEnd"/>
      <w:r w:rsidRPr="00EA6823">
        <w:rPr>
          <w:sz w:val="24"/>
          <w:szCs w:val="24"/>
          <w:lang w:eastAsia="fr-FR"/>
        </w:rPr>
        <w:t>)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Emmanuel LEROY-LADURIE : Le territoire de l'historien (Gallimard)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Georges DUBY : Les trois ordres ou l'imaginaire du féodalisme (Gallimard)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F.BRAUDEL : Histoire économique du monde méditerranéen 1450-1650 (Privât)</w:t>
      </w:r>
      <w:r w:rsidR="00EA6823" w:rsidRPr="00EA6823">
        <w:rPr>
          <w:sz w:val="24"/>
          <w:szCs w:val="24"/>
          <w:lang w:eastAsia="fr-FR"/>
        </w:rPr>
        <w:t xml:space="preserve"> </w:t>
      </w:r>
      <w:r w:rsidRPr="00EA6823">
        <w:rPr>
          <w:sz w:val="24"/>
          <w:szCs w:val="24"/>
          <w:lang w:eastAsia="fr-FR"/>
        </w:rPr>
        <w:t>: Histoire économique et sociale de la France Tome 3</w:t>
      </w:r>
      <w:r w:rsidR="00EA6823" w:rsidRPr="00EA6823">
        <w:rPr>
          <w:sz w:val="24"/>
          <w:szCs w:val="24"/>
          <w:lang w:eastAsia="fr-FR"/>
        </w:rPr>
        <w:t xml:space="preserve"> </w:t>
      </w:r>
      <w:r w:rsidRPr="00EA6823">
        <w:rPr>
          <w:sz w:val="24"/>
          <w:szCs w:val="24"/>
          <w:lang w:eastAsia="fr-FR"/>
        </w:rPr>
        <w:t>(PUF)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Civilisation matérielle, économie et capitalisme-</w:t>
      </w:r>
      <w:proofErr w:type="spellStart"/>
      <w:r w:rsidRPr="00EA6823">
        <w:rPr>
          <w:sz w:val="24"/>
          <w:szCs w:val="24"/>
          <w:lang w:eastAsia="fr-FR"/>
        </w:rPr>
        <w:t>XVè</w:t>
      </w:r>
      <w:proofErr w:type="spellEnd"/>
      <w:r w:rsidRPr="00EA6823">
        <w:rPr>
          <w:sz w:val="24"/>
          <w:szCs w:val="24"/>
          <w:lang w:eastAsia="fr-FR"/>
        </w:rPr>
        <w:t xml:space="preserve">- </w:t>
      </w:r>
      <w:proofErr w:type="spellStart"/>
      <w:r w:rsidRPr="00EA6823">
        <w:rPr>
          <w:sz w:val="24"/>
          <w:szCs w:val="24"/>
          <w:lang w:eastAsia="fr-FR"/>
        </w:rPr>
        <w:t>XVmè</w:t>
      </w:r>
      <w:proofErr w:type="spellEnd"/>
      <w:r w:rsidRPr="00EA6823">
        <w:rPr>
          <w:sz w:val="24"/>
          <w:szCs w:val="24"/>
          <w:lang w:eastAsia="fr-FR"/>
        </w:rPr>
        <w:t xml:space="preserve"> siècle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Tome 1 - les structures du mobilier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Tome 2 - Les jeux de l'échange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Tome 3 - Le temps du monde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E.HALEVY : L'Angleterre en 1815 (Hachette)</w:t>
      </w:r>
    </w:p>
    <w:p w:rsidR="00D74F83" w:rsidRPr="00EA6823" w:rsidRDefault="00D74F83" w:rsidP="00EA6823">
      <w:pPr>
        <w:pStyle w:val="Paragraphedeliste"/>
        <w:numPr>
          <w:ilvl w:val="0"/>
          <w:numId w:val="7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lastRenderedPageBreak/>
        <w:t>Maurice GODELIER : Horizons, trajets marxistes en anthropologie (Maspero, 1973)</w:t>
      </w:r>
      <w:r w:rsidR="00EA6823" w:rsidRPr="00EA6823">
        <w:rPr>
          <w:sz w:val="24"/>
          <w:szCs w:val="24"/>
          <w:lang w:eastAsia="fr-FR"/>
        </w:rPr>
        <w:t xml:space="preserve"> </w:t>
      </w:r>
      <w:r w:rsidRPr="00EA6823">
        <w:rPr>
          <w:sz w:val="24"/>
          <w:szCs w:val="24"/>
          <w:lang w:eastAsia="fr-FR"/>
        </w:rPr>
        <w:t xml:space="preserve">: Livre du C.E.R.M (Editions Sociales, Paris, 1973) "sur les sociétés </w:t>
      </w:r>
      <w:proofErr w:type="spellStart"/>
      <w:r w:rsidRPr="00EA6823">
        <w:rPr>
          <w:sz w:val="24"/>
          <w:szCs w:val="24"/>
          <w:lang w:eastAsia="fr-FR"/>
        </w:rPr>
        <w:t>pré-capitalistes</w:t>
      </w:r>
      <w:proofErr w:type="spellEnd"/>
      <w:r w:rsidRPr="00EA6823">
        <w:rPr>
          <w:sz w:val="24"/>
          <w:szCs w:val="24"/>
          <w:lang w:eastAsia="fr-FR"/>
        </w:rPr>
        <w:t>"</w:t>
      </w:r>
    </w:p>
    <w:p w:rsidR="00D74F83" w:rsidRPr="00EA6823" w:rsidRDefault="00D74F83" w:rsidP="00D74F83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EA6823">
        <w:rPr>
          <w:b/>
          <w:bCs/>
          <w:sz w:val="24"/>
          <w:szCs w:val="24"/>
          <w:u w:val="single"/>
          <w:lang w:eastAsia="fr-FR"/>
        </w:rPr>
        <w:t>III. Anthropologie juridique</w:t>
      </w:r>
    </w:p>
    <w:p w:rsidR="00D74F83" w:rsidRPr="00EA6823" w:rsidRDefault="00D74F83" w:rsidP="00EA6823">
      <w:pPr>
        <w:pStyle w:val="Paragraphedeliste"/>
        <w:numPr>
          <w:ilvl w:val="0"/>
          <w:numId w:val="8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Christian ATTIAS : Destins du droit de propriété, éd. Sirey</w:t>
      </w:r>
    </w:p>
    <w:p w:rsidR="00D74F83" w:rsidRPr="00EA6823" w:rsidRDefault="00D74F83" w:rsidP="00EA6823">
      <w:pPr>
        <w:pStyle w:val="Paragraphedeliste"/>
        <w:numPr>
          <w:ilvl w:val="0"/>
          <w:numId w:val="8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Jacques LENOBLE &amp; François Ost : "La dérive</w:t>
      </w:r>
      <w:r w:rsidRPr="00EA6823">
        <w:rPr>
          <w:i/>
          <w:iCs/>
          <w:sz w:val="24"/>
          <w:szCs w:val="24"/>
          <w:lang w:eastAsia="fr-FR"/>
        </w:rPr>
        <w:t xml:space="preserve"> </w:t>
      </w:r>
      <w:proofErr w:type="spellStart"/>
      <w:r w:rsidRPr="00EA6823">
        <w:rPr>
          <w:i/>
          <w:iCs/>
          <w:sz w:val="24"/>
          <w:szCs w:val="24"/>
          <w:lang w:eastAsia="fr-FR"/>
        </w:rPr>
        <w:t>mytho-logique</w:t>
      </w:r>
      <w:proofErr w:type="spellEnd"/>
      <w:r w:rsidRPr="00EA6823">
        <w:rPr>
          <w:i/>
          <w:iCs/>
          <w:sz w:val="24"/>
          <w:szCs w:val="24"/>
          <w:lang w:eastAsia="fr-FR"/>
        </w:rPr>
        <w:t>"</w:t>
      </w:r>
      <w:r w:rsidRPr="00EA6823">
        <w:rPr>
          <w:sz w:val="24"/>
          <w:szCs w:val="24"/>
          <w:lang w:eastAsia="fr-FR"/>
        </w:rPr>
        <w:t xml:space="preserve"> du droit occidental, Presse Universitaires, Université Libre de Bruxelles, 1990</w:t>
      </w:r>
    </w:p>
    <w:p w:rsidR="00D74F83" w:rsidRPr="00EA6823" w:rsidRDefault="00D74F83" w:rsidP="00EA6823">
      <w:pPr>
        <w:pStyle w:val="Paragraphedeliste"/>
        <w:numPr>
          <w:ilvl w:val="0"/>
          <w:numId w:val="8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Jean Paul CHARNAY : la vie quotidienne en Algérie d'après la jurisprudence de la première moitié du XXème siècle (PUF, réédition 1991)</w:t>
      </w:r>
    </w:p>
    <w:p w:rsidR="00D74F83" w:rsidRPr="00EA6823" w:rsidRDefault="00D74F83" w:rsidP="00EA6823">
      <w:pPr>
        <w:pStyle w:val="Paragraphedeliste"/>
        <w:numPr>
          <w:ilvl w:val="0"/>
          <w:numId w:val="8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 xml:space="preserve">R.GALISSOT : Essai de définition du mode de production de l'Algérie </w:t>
      </w:r>
      <w:proofErr w:type="spellStart"/>
      <w:r w:rsidRPr="00EA6823">
        <w:rPr>
          <w:sz w:val="24"/>
          <w:szCs w:val="24"/>
          <w:lang w:eastAsia="fr-FR"/>
        </w:rPr>
        <w:t>pré-coloniale</w:t>
      </w:r>
      <w:proofErr w:type="spellEnd"/>
      <w:r w:rsidRPr="00EA6823">
        <w:rPr>
          <w:sz w:val="24"/>
          <w:szCs w:val="24"/>
          <w:lang w:eastAsia="fr-FR"/>
        </w:rPr>
        <w:t>, in : Revue Algérienne des Sciences Juridiques Economiques et Politiques, volume 5, n°2, Juin 1968</w:t>
      </w:r>
    </w:p>
    <w:p w:rsidR="00D74F83" w:rsidRPr="00EA6823" w:rsidRDefault="00D74F83" w:rsidP="00EA6823">
      <w:pPr>
        <w:pStyle w:val="Paragraphedeliste"/>
        <w:numPr>
          <w:ilvl w:val="0"/>
          <w:numId w:val="8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Nadir MAROUF : Implication*</w:t>
      </w:r>
      <w:proofErr w:type="spellStart"/>
      <w:r w:rsidRPr="00EA6823">
        <w:rPr>
          <w:sz w:val="24"/>
          <w:szCs w:val="24"/>
          <w:lang w:eastAsia="fr-FR"/>
        </w:rPr>
        <w:t>socio-juridiques</w:t>
      </w:r>
      <w:proofErr w:type="spellEnd"/>
      <w:r w:rsidRPr="00EA6823">
        <w:rPr>
          <w:sz w:val="24"/>
          <w:szCs w:val="24"/>
          <w:lang w:eastAsia="fr-FR"/>
        </w:rPr>
        <w:t xml:space="preserve"> et économiques de la propriété foncière indivise en Algérie : Application dans l'Ouest oranais, thèse de 3è cycle, Sorbonne, février 1971 (Bibliothèque Nationale, Paris)</w:t>
      </w:r>
    </w:p>
    <w:p w:rsidR="00D74F83" w:rsidRPr="00EA6823" w:rsidRDefault="00D74F83" w:rsidP="00EA6823">
      <w:pPr>
        <w:pStyle w:val="Paragraphedeliste"/>
        <w:numPr>
          <w:ilvl w:val="0"/>
          <w:numId w:val="8"/>
        </w:numPr>
        <w:rPr>
          <w:sz w:val="24"/>
          <w:szCs w:val="24"/>
          <w:lang w:eastAsia="fr-FR"/>
        </w:rPr>
      </w:pPr>
      <w:r w:rsidRPr="00EA6823">
        <w:rPr>
          <w:sz w:val="24"/>
          <w:szCs w:val="24"/>
          <w:lang w:eastAsia="fr-FR"/>
        </w:rPr>
        <w:t>Louis MILLIOT : Introduction au droit musulman (Sirey, Paris 1953)</w:t>
      </w:r>
    </w:p>
    <w:p w:rsidR="00F626EB" w:rsidRPr="00F13357" w:rsidRDefault="00F626EB" w:rsidP="00D74F83">
      <w:pPr>
        <w:rPr>
          <w:b/>
          <w:bCs/>
          <w:sz w:val="24"/>
          <w:szCs w:val="24"/>
        </w:rPr>
      </w:pPr>
    </w:p>
    <w:sectPr w:rsidR="00F626EB" w:rsidRPr="00F1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CBB236D"/>
    <w:multiLevelType w:val="hybridMultilevel"/>
    <w:tmpl w:val="AD2E36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9062F"/>
    <w:multiLevelType w:val="multilevel"/>
    <w:tmpl w:val="DDC20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A168AC"/>
    <w:multiLevelType w:val="hybridMultilevel"/>
    <w:tmpl w:val="067AE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71CCF"/>
    <w:multiLevelType w:val="hybridMultilevel"/>
    <w:tmpl w:val="BB1CB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747BC"/>
    <w:multiLevelType w:val="hybridMultilevel"/>
    <w:tmpl w:val="5C769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25FA4"/>
    <w:multiLevelType w:val="hybridMultilevel"/>
    <w:tmpl w:val="B2EEE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EB"/>
    <w:rsid w:val="001E02CD"/>
    <w:rsid w:val="00306457"/>
    <w:rsid w:val="0042656F"/>
    <w:rsid w:val="007E4EFB"/>
    <w:rsid w:val="00914856"/>
    <w:rsid w:val="009F4CCE"/>
    <w:rsid w:val="00BB615D"/>
    <w:rsid w:val="00D74F83"/>
    <w:rsid w:val="00DE1828"/>
    <w:rsid w:val="00EA6823"/>
    <w:rsid w:val="00F1132F"/>
    <w:rsid w:val="00F13357"/>
    <w:rsid w:val="00F323EB"/>
    <w:rsid w:val="00F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7202-1AAD-4661-A00E-CD887600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626EB"/>
  </w:style>
  <w:style w:type="paragraph" w:styleId="Paragraphedeliste">
    <w:name w:val="List Paragraph"/>
    <w:basedOn w:val="Normal"/>
    <w:uiPriority w:val="34"/>
    <w:qFormat/>
    <w:rsid w:val="001E02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2015-05-25T11:23:00Z</cp:lastPrinted>
  <dcterms:created xsi:type="dcterms:W3CDTF">2015-05-26T08:49:00Z</dcterms:created>
  <dcterms:modified xsi:type="dcterms:W3CDTF">2015-05-26T08:49:00Z</dcterms:modified>
</cp:coreProperties>
</file>